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C4" w:rsidRPr="00DF5EEB" w:rsidRDefault="002F31D1">
      <w:pPr>
        <w:rPr>
          <w:rFonts w:ascii="仿宋" w:eastAsia="仿宋" w:hAnsi="仿宋" w:cs="仿宋"/>
          <w:b/>
          <w:bCs/>
          <w:sz w:val="32"/>
          <w:szCs w:val="32"/>
        </w:rPr>
      </w:pPr>
      <w:r w:rsidRPr="00DF5EEB">
        <w:rPr>
          <w:rFonts w:ascii="仿宋" w:eastAsia="仿宋" w:hAnsi="仿宋" w:cs="仿宋" w:hint="eastAsia"/>
          <w:b/>
          <w:bCs/>
          <w:sz w:val="32"/>
          <w:szCs w:val="32"/>
        </w:rPr>
        <w:t>附件：</w:t>
      </w:r>
    </w:p>
    <w:p w:rsidR="002625C4" w:rsidRPr="00DF5EEB" w:rsidRDefault="002F31D1">
      <w:pPr>
        <w:jc w:val="center"/>
      </w:pPr>
      <w:r w:rsidRPr="00DF5EEB">
        <w:rPr>
          <w:rFonts w:ascii="仿宋" w:eastAsia="仿宋" w:hAnsi="仿宋" w:cs="仿宋" w:hint="eastAsia"/>
          <w:b/>
          <w:bCs/>
          <w:sz w:val="36"/>
          <w:szCs w:val="36"/>
        </w:rPr>
        <w:t>广西培贤国际职业学院</w:t>
      </w:r>
      <w:r w:rsidR="00FB4626">
        <w:rPr>
          <w:rFonts w:ascii="仿宋" w:eastAsia="仿宋" w:hAnsi="仿宋" w:cs="仿宋" w:hint="eastAsia"/>
          <w:b/>
          <w:bCs/>
          <w:sz w:val="36"/>
          <w:szCs w:val="36"/>
        </w:rPr>
        <w:t>高铁实训室</w:t>
      </w:r>
      <w:r w:rsidRPr="00DF5EEB">
        <w:rPr>
          <w:rFonts w:ascii="仿宋" w:eastAsia="仿宋" w:hAnsi="仿宋" w:cs="仿宋" w:hint="eastAsia"/>
          <w:b/>
          <w:bCs/>
          <w:sz w:val="36"/>
          <w:szCs w:val="36"/>
        </w:rPr>
        <w:t>设备采购及安装项目报价单</w:t>
      </w:r>
    </w:p>
    <w:p w:rsidR="002625C4" w:rsidRPr="00DF5EEB" w:rsidRDefault="002F31D1">
      <w:pPr>
        <w:jc w:val="center"/>
        <w:rPr>
          <w:rFonts w:ascii="仿宋" w:eastAsia="仿宋" w:hAnsi="仿宋" w:cs="仿宋"/>
          <w:b/>
          <w:bCs/>
          <w:sz w:val="24"/>
        </w:rPr>
      </w:pPr>
      <w:r w:rsidRPr="00DF5EEB">
        <w:rPr>
          <w:rFonts w:ascii="仿宋" w:eastAsia="仿宋" w:hAnsi="仿宋" w:cs="仿宋" w:hint="eastAsia"/>
          <w:b/>
          <w:bCs/>
          <w:sz w:val="24"/>
        </w:rPr>
        <w:t>项目编号：</w:t>
      </w:r>
      <w:r w:rsidR="00FB4626">
        <w:rPr>
          <w:rFonts w:ascii="仿宋" w:eastAsia="仿宋" w:hAnsi="仿宋" w:cs="仿宋" w:hint="eastAsia"/>
          <w:b/>
          <w:bCs/>
          <w:sz w:val="24"/>
        </w:rPr>
        <w:t>GXPXGJZYXY-2019-03</w:t>
      </w:r>
    </w:p>
    <w:p w:rsidR="00C478E2" w:rsidRPr="00C478E2" w:rsidRDefault="002F31D1" w:rsidP="00C478E2">
      <w:pPr>
        <w:jc w:val="center"/>
        <w:rPr>
          <w:rFonts w:ascii="仿宋" w:eastAsia="仿宋" w:hAnsi="仿宋" w:cs="仿宋"/>
          <w:b/>
          <w:bCs/>
          <w:sz w:val="24"/>
        </w:rPr>
      </w:pPr>
      <w:r w:rsidRPr="00090F1A">
        <w:rPr>
          <w:rFonts w:ascii="仿宋" w:eastAsia="仿宋" w:hAnsi="仿宋" w:cs="仿宋" w:hint="eastAsia"/>
          <w:b/>
          <w:bCs/>
          <w:sz w:val="24"/>
        </w:rPr>
        <w:t>预算金额：</w:t>
      </w:r>
      <w:r w:rsidR="00090F1A" w:rsidRPr="00090F1A">
        <w:rPr>
          <w:rFonts w:ascii="仿宋" w:eastAsia="仿宋" w:hAnsi="仿宋" w:cs="仿宋" w:hint="eastAsia"/>
          <w:b/>
          <w:bCs/>
          <w:sz w:val="24"/>
        </w:rPr>
        <w:t>贰</w:t>
      </w:r>
      <w:r w:rsidRPr="00090F1A">
        <w:rPr>
          <w:rFonts w:ascii="仿宋" w:eastAsia="仿宋" w:hAnsi="仿宋" w:cs="仿宋" w:hint="eastAsia"/>
          <w:b/>
          <w:bCs/>
          <w:sz w:val="24"/>
        </w:rPr>
        <w:t>拾</w:t>
      </w:r>
      <w:r w:rsidR="00090F1A" w:rsidRPr="00090F1A">
        <w:rPr>
          <w:rFonts w:ascii="仿宋" w:eastAsia="仿宋" w:hAnsi="仿宋" w:cs="仿宋" w:hint="eastAsia"/>
          <w:b/>
          <w:bCs/>
          <w:sz w:val="24"/>
        </w:rPr>
        <w:t>伍</w:t>
      </w:r>
      <w:r w:rsidRPr="00090F1A">
        <w:rPr>
          <w:rFonts w:ascii="仿宋" w:eastAsia="仿宋" w:hAnsi="仿宋" w:cs="仿宋" w:hint="eastAsia"/>
          <w:b/>
          <w:bCs/>
          <w:sz w:val="24"/>
        </w:rPr>
        <w:t>万</w:t>
      </w:r>
      <w:r w:rsidR="00090F1A" w:rsidRPr="00090F1A">
        <w:rPr>
          <w:rFonts w:ascii="仿宋" w:eastAsia="仿宋" w:hAnsi="仿宋" w:cs="仿宋" w:hint="eastAsia"/>
          <w:b/>
          <w:bCs/>
          <w:sz w:val="24"/>
        </w:rPr>
        <w:t>贰仟玖佰伍拾</w:t>
      </w:r>
      <w:r w:rsidRPr="00090F1A">
        <w:rPr>
          <w:rFonts w:ascii="仿宋" w:eastAsia="仿宋" w:hAnsi="仿宋" w:cs="仿宋" w:hint="eastAsia"/>
          <w:b/>
          <w:bCs/>
          <w:sz w:val="24"/>
        </w:rPr>
        <w:t>元整（</w:t>
      </w:r>
      <w:r w:rsidR="00090F1A" w:rsidRPr="00090F1A">
        <w:rPr>
          <w:rFonts w:ascii="宋体" w:hAnsi="宋体" w:cs="宋体" w:hint="eastAsia"/>
          <w:b/>
          <w:bCs/>
          <w:sz w:val="24"/>
        </w:rPr>
        <w:t>¥</w:t>
      </w:r>
      <w:r w:rsidR="00090F1A" w:rsidRPr="00090F1A">
        <w:rPr>
          <w:rFonts w:ascii="仿宋" w:eastAsia="仿宋" w:hAnsi="仿宋" w:cs="仿宋"/>
          <w:b/>
          <w:bCs/>
          <w:sz w:val="24"/>
        </w:rPr>
        <w:t>250</w:t>
      </w:r>
      <w:r w:rsidR="00C478E2">
        <w:rPr>
          <w:rFonts w:ascii="仿宋" w:eastAsia="仿宋" w:hAnsi="仿宋" w:cs="仿宋" w:hint="eastAsia"/>
          <w:b/>
          <w:bCs/>
          <w:sz w:val="24"/>
        </w:rPr>
        <w:t>000</w:t>
      </w:r>
      <w:r w:rsidRPr="00090F1A">
        <w:rPr>
          <w:rFonts w:ascii="仿宋" w:eastAsia="仿宋" w:hAnsi="仿宋" w:cs="仿宋" w:hint="eastAsia"/>
          <w:b/>
          <w:bCs/>
          <w:sz w:val="24"/>
        </w:rPr>
        <w:t>.00）</w:t>
      </w:r>
    </w:p>
    <w:tbl>
      <w:tblPr>
        <w:tblW w:w="27278" w:type="dxa"/>
        <w:tblInd w:w="108" w:type="dxa"/>
        <w:tblLook w:val="04A0" w:firstRow="1" w:lastRow="0" w:firstColumn="1" w:lastColumn="0" w:noHBand="0" w:noVBand="1"/>
      </w:tblPr>
      <w:tblGrid>
        <w:gridCol w:w="709"/>
        <w:gridCol w:w="1701"/>
        <w:gridCol w:w="709"/>
        <w:gridCol w:w="709"/>
        <w:gridCol w:w="850"/>
        <w:gridCol w:w="3402"/>
        <w:gridCol w:w="1264"/>
        <w:gridCol w:w="1134"/>
        <w:gridCol w:w="2570"/>
        <w:gridCol w:w="1460"/>
        <w:gridCol w:w="170"/>
        <w:gridCol w:w="4030"/>
        <w:gridCol w:w="170"/>
        <w:gridCol w:w="4030"/>
        <w:gridCol w:w="170"/>
        <w:gridCol w:w="4200"/>
      </w:tblGrid>
      <w:tr w:rsidR="009912C0" w:rsidRPr="00090F1A" w:rsidTr="00C478E2">
        <w:trPr>
          <w:gridAfter w:val="8"/>
          <w:wAfter w:w="16800" w:type="dxa"/>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2C0" w:rsidRPr="00090F1A" w:rsidRDefault="009912C0" w:rsidP="00C478E2">
            <w:pPr>
              <w:jc w:val="center"/>
            </w:pPr>
            <w:r w:rsidRPr="00090F1A">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C0" w:rsidRPr="00090F1A" w:rsidRDefault="009912C0" w:rsidP="00C478E2">
            <w:pPr>
              <w:jc w:val="center"/>
              <w:rPr>
                <w:b/>
                <w:bCs/>
              </w:rPr>
            </w:pPr>
            <w:r w:rsidRPr="00090F1A">
              <w:rPr>
                <w:rFonts w:hint="eastAsia"/>
                <w:b/>
                <w:bCs/>
              </w:rPr>
              <w:t>设备名称</w:t>
            </w:r>
          </w:p>
        </w:tc>
        <w:tc>
          <w:tcPr>
            <w:tcW w:w="709" w:type="dxa"/>
            <w:tcBorders>
              <w:top w:val="single" w:sz="8" w:space="0" w:color="auto"/>
              <w:left w:val="single" w:sz="4" w:space="0" w:color="auto"/>
              <w:bottom w:val="nil"/>
              <w:right w:val="single" w:sz="8" w:space="0" w:color="auto"/>
            </w:tcBorders>
            <w:shd w:val="clear" w:color="auto" w:fill="auto"/>
            <w:vAlign w:val="center"/>
            <w:hideMark/>
          </w:tcPr>
          <w:p w:rsidR="009912C0" w:rsidRPr="00090F1A" w:rsidRDefault="009912C0" w:rsidP="00C478E2">
            <w:pPr>
              <w:jc w:val="center"/>
              <w:rPr>
                <w:b/>
                <w:bCs/>
              </w:rPr>
            </w:pPr>
            <w:r w:rsidRPr="00090F1A">
              <w:rPr>
                <w:rFonts w:hint="eastAsia"/>
                <w:b/>
                <w:bCs/>
              </w:rPr>
              <w:t>数量</w:t>
            </w:r>
          </w:p>
        </w:tc>
        <w:tc>
          <w:tcPr>
            <w:tcW w:w="709" w:type="dxa"/>
            <w:tcBorders>
              <w:top w:val="single" w:sz="8" w:space="0" w:color="auto"/>
              <w:left w:val="nil"/>
              <w:bottom w:val="nil"/>
              <w:right w:val="single" w:sz="4" w:space="0" w:color="auto"/>
            </w:tcBorders>
            <w:shd w:val="clear" w:color="auto" w:fill="auto"/>
            <w:vAlign w:val="center"/>
            <w:hideMark/>
          </w:tcPr>
          <w:p w:rsidR="009912C0" w:rsidRPr="00090F1A" w:rsidRDefault="009912C0" w:rsidP="00C478E2">
            <w:pPr>
              <w:jc w:val="center"/>
            </w:pPr>
            <w:r>
              <w:rPr>
                <w:rFonts w:hint="eastAsia"/>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912C0" w:rsidRDefault="009912C0" w:rsidP="00C478E2">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3402" w:type="dxa"/>
            <w:tcBorders>
              <w:top w:val="single" w:sz="8" w:space="0" w:color="auto"/>
              <w:left w:val="single" w:sz="4" w:space="0" w:color="auto"/>
              <w:bottom w:val="nil"/>
              <w:right w:val="single" w:sz="4" w:space="0" w:color="auto"/>
            </w:tcBorders>
            <w:vAlign w:val="center"/>
          </w:tcPr>
          <w:p w:rsidR="009912C0" w:rsidRDefault="009912C0" w:rsidP="00C478E2">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264" w:type="dxa"/>
            <w:tcBorders>
              <w:top w:val="single" w:sz="8" w:space="0" w:color="auto"/>
              <w:left w:val="single" w:sz="4" w:space="0" w:color="auto"/>
              <w:bottom w:val="nil"/>
              <w:right w:val="single" w:sz="8" w:space="0" w:color="auto"/>
            </w:tcBorders>
            <w:shd w:val="clear" w:color="auto" w:fill="auto"/>
            <w:vAlign w:val="center"/>
            <w:hideMark/>
          </w:tcPr>
          <w:p w:rsidR="009912C0" w:rsidRDefault="009912C0" w:rsidP="00C478E2">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134" w:type="dxa"/>
            <w:tcBorders>
              <w:top w:val="single" w:sz="8" w:space="0" w:color="auto"/>
              <w:left w:val="nil"/>
              <w:bottom w:val="nil"/>
              <w:right w:val="single" w:sz="8" w:space="0" w:color="auto"/>
            </w:tcBorders>
            <w:shd w:val="clear" w:color="auto" w:fill="auto"/>
            <w:vAlign w:val="center"/>
            <w:hideMark/>
          </w:tcPr>
          <w:p w:rsidR="009912C0" w:rsidRDefault="009912C0" w:rsidP="00C478E2">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车体结构</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single" w:sz="4" w:space="0" w:color="auto"/>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长5米；宽3.25米；高2.8米</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餐车吧台</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一等座乘客座椅</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4</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具备旋转功能</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二等座乘客座椅</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10</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具备旋转功能</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.旅客行李架</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分布于</w:t>
            </w:r>
            <w:proofErr w:type="gramStart"/>
            <w:r w:rsidRPr="00C478E2">
              <w:rPr>
                <w:rFonts w:ascii="仿宋" w:eastAsia="仿宋" w:hAnsi="仿宋" w:hint="eastAsia"/>
              </w:rPr>
              <w:t>二等旅客区</w:t>
            </w:r>
            <w:proofErr w:type="gramEnd"/>
            <w:r w:rsidRPr="00C478E2">
              <w:rPr>
                <w:rFonts w:ascii="仿宋" w:eastAsia="仿宋" w:hAnsi="仿宋" w:hint="eastAsia"/>
              </w:rPr>
              <w:t>座椅的上方，沿舱体两侧布置</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.旅客进出门</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后列车门</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地板制作工艺</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动车内部照明系统</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内部照明按功能分为主照明和应急照明。前门区、后门区、所有功能间、过道顶灯均为LED照明灯。</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广播系统与内</w:t>
            </w:r>
            <w:proofErr w:type="gramStart"/>
            <w:r w:rsidRPr="00C478E2">
              <w:rPr>
                <w:rFonts w:ascii="仿宋" w:eastAsia="仿宋" w:hAnsi="仿宋" w:hint="eastAsia"/>
                <w:szCs w:val="21"/>
              </w:rPr>
              <w:t>话系统</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多功能教官控制室统一对广播和内</w:t>
            </w:r>
            <w:proofErr w:type="gramStart"/>
            <w:r w:rsidRPr="00C478E2">
              <w:rPr>
                <w:rFonts w:ascii="仿宋" w:eastAsia="仿宋" w:hAnsi="仿宋" w:hint="eastAsia"/>
              </w:rPr>
              <w:t>话系统</w:t>
            </w:r>
            <w:proofErr w:type="gramEnd"/>
            <w:r w:rsidRPr="00C478E2">
              <w:rPr>
                <w:rFonts w:ascii="仿宋" w:eastAsia="仿宋" w:hAnsi="仿宋" w:hint="eastAsia"/>
              </w:rPr>
              <w:t>进行控制，可以实现对整个训练器广播、可选区域广播；还可实现司机室与乘务员控制室之间的内部通信；同时具有音量设置功能；整个训练器的音量设置和可选的广播保持不受音乐音量设置的影响。</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火灾探测系统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内部列车信息显示器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外部信息显示</w:t>
            </w:r>
            <w:proofErr w:type="gramStart"/>
            <w:r w:rsidRPr="00C478E2">
              <w:rPr>
                <w:rFonts w:ascii="仿宋" w:eastAsia="仿宋" w:hAnsi="仿宋" w:hint="eastAsia"/>
              </w:rPr>
              <w:t>器位于</w:t>
            </w:r>
            <w:proofErr w:type="gramEnd"/>
            <w:r w:rsidRPr="00C478E2">
              <w:rPr>
                <w:rFonts w:ascii="仿宋" w:eastAsia="仿宋" w:hAnsi="仿宋" w:hint="eastAsia"/>
              </w:rPr>
              <w:t>脚蹬门附近并中英文交替提供下列信息：上行显示车次和车厢号；第二行显示线路的始发站；底行显示终到站；这几行静止显示并不滚动，</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外部列车信息显示器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内部列车信息显示</w:t>
            </w:r>
            <w:proofErr w:type="gramStart"/>
            <w:r w:rsidRPr="00C478E2">
              <w:rPr>
                <w:rFonts w:ascii="仿宋" w:eastAsia="仿宋" w:hAnsi="仿宋" w:hint="eastAsia"/>
              </w:rPr>
              <w:t>器位于</w:t>
            </w:r>
            <w:proofErr w:type="gramEnd"/>
            <w:r w:rsidRPr="00C478E2">
              <w:rPr>
                <w:rFonts w:ascii="仿宋" w:eastAsia="仿宋" w:hAnsi="仿宋" w:hint="eastAsia"/>
              </w:rPr>
              <w:t>客室的两端并根据距离、车门文字用中英文交替显示</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卫生清洁系统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在训练舱前门区和舱内各安装有AC220V 50HZ的清洁专用电源插座，以备清洁训练舱使用。</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lastRenderedPageBreak/>
              <w:t>15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通风系统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外部喷漆</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售、退改签柜台</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用于给学生模拟实训车站乘客购票、改签、退票业务的办理手续</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小件行李安检X光设备</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辅助学生在实训时快速、有效地发现行李内可能存在的违禁物品</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安检门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当人体携带金属物品通过时能产生报警的装置，</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闸机（检票机）</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3</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通过识别模拟打印的车票进站</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售票系统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roofErr w:type="gramStart"/>
            <w:r w:rsidRPr="00C478E2">
              <w:rPr>
                <w:rFonts w:ascii="仿宋" w:eastAsia="仿宋" w:hAnsi="仿宋" w:hint="eastAsia"/>
              </w:rPr>
              <w:t>模拟高</w:t>
            </w:r>
            <w:proofErr w:type="gramEnd"/>
            <w:r w:rsidRPr="00C478E2">
              <w:rPr>
                <w:rFonts w:ascii="仿宋" w:eastAsia="仿宋" w:hAnsi="仿宋" w:hint="eastAsia"/>
              </w:rPr>
              <w:t>铁系统、列车排班、售票、出票、退改签</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6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手持</w:t>
            </w:r>
            <w:proofErr w:type="gramStart"/>
            <w:r w:rsidRPr="00C478E2">
              <w:rPr>
                <w:rFonts w:ascii="仿宋" w:eastAsia="仿宋" w:hAnsi="仿宋" w:hint="eastAsia"/>
                <w:szCs w:val="21"/>
              </w:rPr>
              <w:t>补票机</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690"/>
        </w:trPr>
        <w:tc>
          <w:tcPr>
            <w:tcW w:w="709"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23</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二代身份证阅读器</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r>
      <w:tr w:rsidR="00A2578E" w:rsidRPr="00090F1A" w:rsidTr="00C478E2">
        <w:trPr>
          <w:trHeight w:val="2760"/>
        </w:trPr>
        <w:tc>
          <w:tcPr>
            <w:tcW w:w="709" w:type="dxa"/>
            <w:vMerge w:val="restart"/>
            <w:tcBorders>
              <w:top w:val="nil"/>
              <w:left w:val="single" w:sz="4" w:space="0" w:color="auto"/>
              <w:bottom w:val="nil"/>
              <w:right w:val="single" w:sz="4" w:space="0" w:color="auto"/>
            </w:tcBorders>
            <w:shd w:val="clear" w:color="auto" w:fill="auto"/>
            <w:noWrap/>
            <w:vAlign w:val="center"/>
          </w:tcPr>
          <w:p w:rsidR="00A2578E" w:rsidRPr="00C478E2" w:rsidRDefault="00A2578E" w:rsidP="006B4DEC">
            <w:pPr>
              <w:widowControl/>
              <w:jc w:val="center"/>
              <w:textAlignment w:val="center"/>
              <w:rPr>
                <w:rFonts w:ascii="仿宋" w:eastAsia="仿宋" w:hAnsi="仿宋" w:cs="仿宋"/>
                <w:color w:val="000000"/>
                <w:kern w:val="0"/>
                <w:szCs w:val="21"/>
              </w:rPr>
            </w:pPr>
            <w:r w:rsidRPr="00C478E2">
              <w:rPr>
                <w:rFonts w:ascii="仿宋" w:eastAsia="仿宋" w:hAnsi="仿宋" w:cs="仿宋" w:hint="eastAsia"/>
                <w:b/>
                <w:bCs/>
                <w:color w:val="000000"/>
                <w:kern w:val="0"/>
                <w:szCs w:val="21"/>
              </w:rPr>
              <w:t>商务要求</w:t>
            </w:r>
          </w:p>
        </w:tc>
        <w:tc>
          <w:tcPr>
            <w:tcW w:w="9769" w:type="dxa"/>
            <w:gridSpan w:val="7"/>
            <w:vMerge w:val="restart"/>
            <w:tcBorders>
              <w:top w:val="nil"/>
              <w:left w:val="single" w:sz="4" w:space="0" w:color="auto"/>
              <w:right w:val="single" w:sz="4" w:space="0" w:color="auto"/>
            </w:tcBorders>
          </w:tcPr>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售后服务及其他要求：</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1、质量保证期：质量保证期不少于1年（</w:t>
            </w:r>
            <w:proofErr w:type="gramStart"/>
            <w:r w:rsidRPr="00C478E2">
              <w:rPr>
                <w:rFonts w:ascii="仿宋" w:eastAsia="仿宋" w:hAnsi="仿宋" w:cs="仿宋" w:hint="eastAsia"/>
                <w:b/>
                <w:color w:val="000000"/>
                <w:kern w:val="0"/>
                <w:szCs w:val="21"/>
              </w:rPr>
              <w:t>自最终</w:t>
            </w:r>
            <w:proofErr w:type="gramEnd"/>
            <w:r w:rsidRPr="00C478E2">
              <w:rPr>
                <w:rFonts w:ascii="仿宋" w:eastAsia="仿宋" w:hAnsi="仿宋" w:cs="仿宋" w:hint="eastAsia"/>
                <w:b/>
                <w:color w:val="000000"/>
                <w:kern w:val="0"/>
                <w:szCs w:val="21"/>
              </w:rPr>
              <w:t>验收合格之日算），在质保期内设备运行发生故障，免费上门维修、免费更换零部件；设备提供终身服务，保修期外的服务费用由采购人和供应商另行商议。</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3、交货时间及地点：交付使用时间：自签订合同之日起30个工作日内。交货地点：采购单位指定地点。</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4、付款条件：以后续签订合同为准。</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5、其他要求：</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（1）本项目为总包干价，所有设备材料的安装施工以及设备（含软件）的安装调试，至系统验收合格前所发生的所有费用均由供应商负责。</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（2）投标报价超过</w:t>
            </w:r>
            <w:proofErr w:type="gramStart"/>
            <w:r w:rsidRPr="00C478E2">
              <w:rPr>
                <w:rFonts w:ascii="仿宋" w:eastAsia="仿宋" w:hAnsi="仿宋" w:cs="仿宋" w:hint="eastAsia"/>
                <w:b/>
                <w:color w:val="000000"/>
                <w:kern w:val="0"/>
                <w:szCs w:val="21"/>
              </w:rPr>
              <w:t>预算价做无效</w:t>
            </w:r>
            <w:proofErr w:type="gramEnd"/>
            <w:r w:rsidRPr="00C478E2">
              <w:rPr>
                <w:rFonts w:ascii="仿宋" w:eastAsia="仿宋" w:hAnsi="仿宋" w:cs="仿宋" w:hint="eastAsia"/>
                <w:b/>
                <w:color w:val="000000"/>
                <w:kern w:val="0"/>
                <w:szCs w:val="21"/>
              </w:rPr>
              <w:t>投标处理。</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6、采购人的特殊要求及说明：</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A2578E" w:rsidRPr="00C478E2" w:rsidRDefault="00A2578E" w:rsidP="00A2578E">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w:t>
            </w:r>
            <w:r w:rsidRPr="00C478E2">
              <w:rPr>
                <w:rFonts w:ascii="仿宋" w:eastAsia="仿宋" w:hAnsi="仿宋" w:cs="仿宋" w:hint="eastAsia"/>
                <w:b/>
                <w:kern w:val="0"/>
                <w:szCs w:val="21"/>
              </w:rPr>
              <w:t>现场踏勘时间统一定于2019年1</w:t>
            </w:r>
            <w:r w:rsidR="001C6C03">
              <w:rPr>
                <w:rFonts w:ascii="仿宋" w:eastAsia="仿宋" w:hAnsi="仿宋" w:cs="仿宋" w:hint="eastAsia"/>
                <w:b/>
                <w:kern w:val="0"/>
                <w:szCs w:val="21"/>
              </w:rPr>
              <w:t>2</w:t>
            </w:r>
            <w:r w:rsidRPr="00C478E2">
              <w:rPr>
                <w:rFonts w:ascii="仿宋" w:eastAsia="仿宋" w:hAnsi="仿宋" w:cs="仿宋" w:hint="eastAsia"/>
                <w:b/>
                <w:kern w:val="0"/>
                <w:szCs w:val="21"/>
              </w:rPr>
              <w:t>月</w:t>
            </w:r>
            <w:r w:rsidR="001C6C03">
              <w:rPr>
                <w:rFonts w:ascii="仿宋" w:eastAsia="仿宋" w:hAnsi="仿宋" w:cs="仿宋" w:hint="eastAsia"/>
                <w:b/>
                <w:kern w:val="0"/>
                <w:szCs w:val="21"/>
              </w:rPr>
              <w:t>11</w:t>
            </w:r>
            <w:bookmarkStart w:id="0" w:name="_GoBack"/>
            <w:bookmarkEnd w:id="0"/>
            <w:r w:rsidRPr="00C478E2">
              <w:rPr>
                <w:rFonts w:ascii="仿宋" w:eastAsia="仿宋" w:hAnsi="仿宋" w:cs="仿宋" w:hint="eastAsia"/>
                <w:b/>
                <w:kern w:val="0"/>
                <w:szCs w:val="21"/>
              </w:rPr>
              <w:t>日（星期三）上午9时进行（逾期自负），集合地点：广西培贤国际职业学院 （集合并签到），联系人：</w:t>
            </w:r>
            <w:proofErr w:type="gramStart"/>
            <w:r w:rsidRPr="00C478E2">
              <w:rPr>
                <w:rFonts w:ascii="仿宋" w:eastAsia="仿宋" w:hAnsi="仿宋" w:cs="仿宋" w:hint="eastAsia"/>
                <w:b/>
                <w:kern w:val="0"/>
                <w:szCs w:val="21"/>
              </w:rPr>
              <w:t>陈礼姬</w:t>
            </w:r>
            <w:proofErr w:type="gramEnd"/>
            <w:r w:rsidRPr="00C478E2">
              <w:rPr>
                <w:rFonts w:ascii="仿宋" w:eastAsia="仿宋" w:hAnsi="仿宋" w:cs="仿宋" w:hint="eastAsia"/>
                <w:b/>
                <w:kern w:val="0"/>
                <w:szCs w:val="21"/>
              </w:rPr>
              <w:t xml:space="preserve">  ，联系电话：18176896425 ，</w:t>
            </w:r>
            <w:r w:rsidRPr="00C478E2">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c>
          <w:tcPr>
            <w:tcW w:w="4200" w:type="dxa"/>
            <w:gridSpan w:val="3"/>
          </w:tcPr>
          <w:p w:rsidR="00A2578E" w:rsidRPr="00090F1A" w:rsidRDefault="00A2578E">
            <w:pPr>
              <w:widowControl/>
              <w:jc w:val="left"/>
            </w:pPr>
          </w:p>
        </w:tc>
        <w:tc>
          <w:tcPr>
            <w:tcW w:w="4200" w:type="dxa"/>
            <w:gridSpan w:val="2"/>
          </w:tcPr>
          <w:p w:rsidR="00A2578E" w:rsidRPr="00090F1A" w:rsidRDefault="00A2578E">
            <w:pPr>
              <w:widowControl/>
              <w:jc w:val="left"/>
            </w:pPr>
          </w:p>
        </w:tc>
        <w:tc>
          <w:tcPr>
            <w:tcW w:w="4200" w:type="dxa"/>
            <w:gridSpan w:val="2"/>
          </w:tcPr>
          <w:p w:rsidR="00A2578E" w:rsidRPr="00090F1A" w:rsidRDefault="00A2578E">
            <w:pPr>
              <w:widowControl/>
              <w:jc w:val="left"/>
            </w:pPr>
          </w:p>
        </w:tc>
        <w:tc>
          <w:tcPr>
            <w:tcW w:w="4200" w:type="dxa"/>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2"/>
          <w:wAfter w:w="43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c>
          <w:tcPr>
            <w:tcW w:w="4200" w:type="dxa"/>
            <w:gridSpan w:val="2"/>
          </w:tcPr>
          <w:p w:rsidR="00A2578E" w:rsidRPr="00090F1A" w:rsidRDefault="00A2578E">
            <w:pPr>
              <w:widowControl/>
              <w:jc w:val="left"/>
            </w:pPr>
          </w:p>
        </w:tc>
        <w:tc>
          <w:tcPr>
            <w:tcW w:w="4200" w:type="dxa"/>
            <w:gridSpan w:val="2"/>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2"/>
          <w:wAfter w:w="43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c>
          <w:tcPr>
            <w:tcW w:w="4200" w:type="dxa"/>
            <w:gridSpan w:val="2"/>
          </w:tcPr>
          <w:p w:rsidR="00A2578E" w:rsidRPr="00090F1A" w:rsidRDefault="00A2578E">
            <w:pPr>
              <w:widowControl/>
              <w:jc w:val="left"/>
            </w:pPr>
          </w:p>
        </w:tc>
        <w:tc>
          <w:tcPr>
            <w:tcW w:w="4200" w:type="dxa"/>
            <w:gridSpan w:val="2"/>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6"/>
          <w:wAfter w:w="127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r>
      <w:tr w:rsidR="00A2578E" w:rsidRPr="00090F1A" w:rsidTr="00C478E2">
        <w:trPr>
          <w:gridAfter w:val="6"/>
          <w:wAfter w:w="12770" w:type="dxa"/>
          <w:trHeight w:val="690"/>
        </w:trPr>
        <w:tc>
          <w:tcPr>
            <w:tcW w:w="709" w:type="dxa"/>
            <w:vMerge/>
            <w:tcBorders>
              <w:left w:val="single" w:sz="4" w:space="0" w:color="auto"/>
              <w:bottom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bottom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r>
    </w:tbl>
    <w:p w:rsidR="009912C0" w:rsidRPr="00090F1A" w:rsidRDefault="009912C0"/>
    <w:p w:rsidR="002625C4" w:rsidRDefault="002F31D1">
      <w:pPr>
        <w:rPr>
          <w:b/>
          <w:bCs/>
        </w:rPr>
      </w:pPr>
      <w:r>
        <w:rPr>
          <w:rFonts w:hint="eastAsia"/>
          <w:b/>
          <w:bCs/>
        </w:rPr>
        <w:t>报价公司（盖公章）：</w:t>
      </w:r>
    </w:p>
    <w:p w:rsidR="002625C4" w:rsidRPr="009912C0" w:rsidRDefault="002625C4">
      <w:pPr>
        <w:rPr>
          <w:b/>
          <w:bCs/>
        </w:rPr>
      </w:pPr>
    </w:p>
    <w:p w:rsidR="002625C4" w:rsidRDefault="002F31D1">
      <w:pPr>
        <w:rPr>
          <w:b/>
          <w:bCs/>
        </w:rPr>
      </w:pPr>
      <w:r>
        <w:rPr>
          <w:rFonts w:hint="eastAsia"/>
          <w:b/>
          <w:bCs/>
        </w:rPr>
        <w:t>联系人及电话：</w:t>
      </w:r>
    </w:p>
    <w:p w:rsidR="002625C4" w:rsidRDefault="002625C4">
      <w:pPr>
        <w:rPr>
          <w:b/>
          <w:bCs/>
        </w:rPr>
      </w:pPr>
    </w:p>
    <w:p w:rsidR="002625C4" w:rsidRDefault="002F31D1">
      <w:pPr>
        <w:rPr>
          <w:b/>
          <w:bCs/>
        </w:rPr>
      </w:pPr>
      <w:r>
        <w:rPr>
          <w:rFonts w:hint="eastAsia"/>
          <w:b/>
          <w:bCs/>
        </w:rPr>
        <w:t>报价日期：</w:t>
      </w:r>
    </w:p>
    <w:sectPr w:rsidR="002625C4" w:rsidSect="002625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9A" w:rsidRDefault="0008689A" w:rsidP="00DF5EEB">
      <w:r>
        <w:separator/>
      </w:r>
    </w:p>
  </w:endnote>
  <w:endnote w:type="continuationSeparator" w:id="0">
    <w:p w:rsidR="0008689A" w:rsidRDefault="0008689A" w:rsidP="00DF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9A" w:rsidRDefault="0008689A" w:rsidP="00DF5EEB">
      <w:r>
        <w:separator/>
      </w:r>
    </w:p>
  </w:footnote>
  <w:footnote w:type="continuationSeparator" w:id="0">
    <w:p w:rsidR="0008689A" w:rsidRDefault="0008689A" w:rsidP="00DF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8D10D6F"/>
    <w:rsid w:val="00006C6D"/>
    <w:rsid w:val="0008689A"/>
    <w:rsid w:val="00090F1A"/>
    <w:rsid w:val="001B07A1"/>
    <w:rsid w:val="001C6C03"/>
    <w:rsid w:val="002625C4"/>
    <w:rsid w:val="002F31D1"/>
    <w:rsid w:val="00371795"/>
    <w:rsid w:val="003823EA"/>
    <w:rsid w:val="003D23B7"/>
    <w:rsid w:val="004562AD"/>
    <w:rsid w:val="0049065E"/>
    <w:rsid w:val="006A4F45"/>
    <w:rsid w:val="006B03AF"/>
    <w:rsid w:val="00786A80"/>
    <w:rsid w:val="00836D1C"/>
    <w:rsid w:val="008C068C"/>
    <w:rsid w:val="0091311B"/>
    <w:rsid w:val="009912C0"/>
    <w:rsid w:val="00A2578E"/>
    <w:rsid w:val="00B53C1F"/>
    <w:rsid w:val="00C4131D"/>
    <w:rsid w:val="00C478E2"/>
    <w:rsid w:val="00C64020"/>
    <w:rsid w:val="00CB0289"/>
    <w:rsid w:val="00D172DB"/>
    <w:rsid w:val="00DF5EEB"/>
    <w:rsid w:val="00E13E40"/>
    <w:rsid w:val="00F056D9"/>
    <w:rsid w:val="00F2514E"/>
    <w:rsid w:val="00F85233"/>
    <w:rsid w:val="00FB4626"/>
    <w:rsid w:val="00FD51F4"/>
    <w:rsid w:val="01D132CB"/>
    <w:rsid w:val="054120D6"/>
    <w:rsid w:val="060163EE"/>
    <w:rsid w:val="07CB55B2"/>
    <w:rsid w:val="08A25D12"/>
    <w:rsid w:val="0AEB1CF5"/>
    <w:rsid w:val="0BDB5DC4"/>
    <w:rsid w:val="0C25128A"/>
    <w:rsid w:val="0DBF7787"/>
    <w:rsid w:val="0F122474"/>
    <w:rsid w:val="0FBC1139"/>
    <w:rsid w:val="10977235"/>
    <w:rsid w:val="10A739B8"/>
    <w:rsid w:val="12A13B30"/>
    <w:rsid w:val="15282C64"/>
    <w:rsid w:val="1F3D558E"/>
    <w:rsid w:val="1FD049CA"/>
    <w:rsid w:val="250067B1"/>
    <w:rsid w:val="293F2A5F"/>
    <w:rsid w:val="29A552E6"/>
    <w:rsid w:val="2CDE7016"/>
    <w:rsid w:val="301201F1"/>
    <w:rsid w:val="325427DD"/>
    <w:rsid w:val="341F7BA2"/>
    <w:rsid w:val="38D10D6F"/>
    <w:rsid w:val="40D1649C"/>
    <w:rsid w:val="41D44A0E"/>
    <w:rsid w:val="427616C4"/>
    <w:rsid w:val="435771DE"/>
    <w:rsid w:val="4BFE4CBD"/>
    <w:rsid w:val="51403813"/>
    <w:rsid w:val="51664C89"/>
    <w:rsid w:val="53474CC2"/>
    <w:rsid w:val="53D35B89"/>
    <w:rsid w:val="54F83F72"/>
    <w:rsid w:val="57A40645"/>
    <w:rsid w:val="5A606E56"/>
    <w:rsid w:val="5AB96114"/>
    <w:rsid w:val="5AFF7241"/>
    <w:rsid w:val="5D204B26"/>
    <w:rsid w:val="5DCB0176"/>
    <w:rsid w:val="5DDE0047"/>
    <w:rsid w:val="60E7593C"/>
    <w:rsid w:val="612C646D"/>
    <w:rsid w:val="62C5542E"/>
    <w:rsid w:val="66D0268D"/>
    <w:rsid w:val="66DC3B94"/>
    <w:rsid w:val="67E07DFD"/>
    <w:rsid w:val="68B01C13"/>
    <w:rsid w:val="69645D94"/>
    <w:rsid w:val="6CB9124F"/>
    <w:rsid w:val="6EE12F64"/>
    <w:rsid w:val="7279279B"/>
    <w:rsid w:val="729527CF"/>
    <w:rsid w:val="75CA3CFA"/>
    <w:rsid w:val="7686088E"/>
    <w:rsid w:val="77832037"/>
    <w:rsid w:val="780B57BD"/>
    <w:rsid w:val="794443EA"/>
    <w:rsid w:val="7A8105B7"/>
    <w:rsid w:val="7CEA3F48"/>
    <w:rsid w:val="7E91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78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 w:type="paragraph" w:styleId="a6">
    <w:name w:val="Body Text"/>
    <w:basedOn w:val="a"/>
    <w:link w:val="Char2"/>
    <w:uiPriority w:val="1"/>
    <w:qFormat/>
    <w:rsid w:val="00A2578E"/>
    <w:rPr>
      <w:rFonts w:ascii="宋体" w:eastAsiaTheme="minorEastAsia" w:hAnsi="宋体" w:cs="宋体"/>
      <w:szCs w:val="21"/>
      <w:lang w:val="zh-CN" w:bidi="zh-CN"/>
    </w:rPr>
  </w:style>
  <w:style w:type="character" w:customStyle="1" w:styleId="Char2">
    <w:name w:val="正文文本 Char"/>
    <w:basedOn w:val="a0"/>
    <w:link w:val="a6"/>
    <w:uiPriority w:val="1"/>
    <w:rsid w:val="00A2578E"/>
    <w:rPr>
      <w:rFonts w:ascii="宋体" w:eastAsiaTheme="minorEastAsia" w:hAnsi="宋体" w:cs="宋体"/>
      <w:kern w:val="2"/>
      <w:sz w:val="21"/>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288</Words>
  <Characters>1643</Characters>
  <Application>Microsoft Office Word</Application>
  <DocSecurity>0</DocSecurity>
  <Lines>13</Lines>
  <Paragraphs>3</Paragraphs>
  <ScaleCrop>false</ScaleCrop>
  <Company>Microsoft</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Administrator</cp:lastModifiedBy>
  <cp:revision>14</cp:revision>
  <dcterms:created xsi:type="dcterms:W3CDTF">2019-06-11T08:02:00Z</dcterms:created>
  <dcterms:modified xsi:type="dcterms:W3CDTF">2019-12-09T06:55:00Z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