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A91BC">
      <w:pPr>
        <w:spacing w:line="360" w:lineRule="auto"/>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广西培贤国际职业学院自考本科</w:t>
      </w:r>
    </w:p>
    <w:p w14:paraId="2279CEFE">
      <w:pPr>
        <w:spacing w:line="360" w:lineRule="auto"/>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招生简章</w:t>
      </w:r>
    </w:p>
    <w:p w14:paraId="326933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ajorEastAsia" w:hAnsiTheme="majorEastAsia" w:eastAsiaTheme="majorEastAsia"/>
          <w:sz w:val="44"/>
          <w:szCs w:val="44"/>
          <w:lang w:val="en-US" w:eastAsia="zh-CN"/>
        </w:rPr>
      </w:pPr>
    </w:p>
    <w:p w14:paraId="606E106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24"/>
          <w:szCs w:val="24"/>
          <w:lang w:val="en-US" w:eastAsia="zh-CN"/>
        </w:rPr>
      </w:pPr>
      <w:r>
        <w:rPr>
          <w:rFonts w:hint="eastAsia" w:asciiTheme="minorHAnsi" w:hAnsiTheme="minorHAnsi" w:eastAsiaTheme="minorEastAsia" w:cstheme="minorBidi"/>
          <w:kern w:val="2"/>
          <w:sz w:val="24"/>
          <w:szCs w:val="24"/>
          <w:lang w:val="en-US" w:eastAsia="zh-CN" w:bidi="ar-SA"/>
        </w:rPr>
        <w:t>一、</w:t>
      </w:r>
      <w:r>
        <w:rPr>
          <w:rFonts w:hint="eastAsia"/>
          <w:sz w:val="24"/>
          <w:szCs w:val="24"/>
          <w:lang w:val="en-US" w:eastAsia="zh-CN"/>
        </w:rPr>
        <w:t>自考本科简介</w:t>
      </w:r>
    </w:p>
    <w:p w14:paraId="364DE7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sz w:val="24"/>
          <w:szCs w:val="24"/>
          <w:lang w:val="en-US" w:eastAsia="zh-CN"/>
        </w:rPr>
      </w:pPr>
      <w:r>
        <w:rPr>
          <w:rFonts w:hint="eastAsia"/>
          <w:sz w:val="24"/>
          <w:szCs w:val="24"/>
          <w:lang w:val="en-US" w:eastAsia="zh-CN"/>
        </w:rPr>
        <w:t>为贯彻国家教育方针，充分发挥高等教育自学考试（简称自考）灵活开放的特点和普通高校的学科优势，搭建广西自考与其他高等教育形式衔接沟通“立交桥”。2010年，广西壮族自治区高等教育自学考试委员会、教育厅在全区普通高校中开展高等教育自学考试本科与高职高专教育衔接试点（简称自考专本衔接试点），为高职高专在校生提供接受继续教育、提高学历和能力的机会，培养具有社会责任感、创新精神、应用能力与实践能力的人才，发展科学技术文化，促进社会主义现代化建设，更好地服务广西经济建设和社会发展。</w:t>
      </w:r>
    </w:p>
    <w:p w14:paraId="6470B5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sz w:val="24"/>
          <w:szCs w:val="24"/>
          <w:lang w:val="en-US" w:eastAsia="zh-CN"/>
        </w:rPr>
      </w:pPr>
      <w:r>
        <w:rPr>
          <w:rFonts w:hint="eastAsia" w:asciiTheme="minorHAnsi" w:hAnsiTheme="minorHAnsi" w:eastAsiaTheme="minorEastAsia" w:cstheme="minorBidi"/>
          <w:kern w:val="2"/>
          <w:sz w:val="24"/>
          <w:szCs w:val="24"/>
          <w:lang w:val="en-US" w:eastAsia="zh-CN" w:bidi="ar-SA"/>
        </w:rPr>
        <w:t>二、</w:t>
      </w:r>
      <w:r>
        <w:rPr>
          <w:rFonts w:hint="eastAsia"/>
          <w:sz w:val="24"/>
          <w:szCs w:val="24"/>
          <w:lang w:val="en-US" w:eastAsia="zh-CN"/>
        </w:rPr>
        <w:t>报读条件</w:t>
      </w:r>
    </w:p>
    <w:p w14:paraId="696D97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sz w:val="24"/>
          <w:szCs w:val="24"/>
          <w:lang w:val="en-US" w:eastAsia="zh-CN"/>
        </w:rPr>
      </w:pPr>
      <w:r>
        <w:rPr>
          <w:rFonts w:hint="eastAsia" w:asciiTheme="minorHAnsi" w:hAnsiTheme="minorHAnsi" w:eastAsiaTheme="minorEastAsia" w:cstheme="minorBidi"/>
          <w:kern w:val="2"/>
          <w:sz w:val="24"/>
          <w:szCs w:val="24"/>
          <w:lang w:val="en-US" w:eastAsia="zh-CN" w:bidi="ar-SA"/>
        </w:rPr>
        <w:t>（一）</w:t>
      </w:r>
      <w:r>
        <w:rPr>
          <w:rFonts w:hint="eastAsia"/>
          <w:sz w:val="24"/>
          <w:szCs w:val="24"/>
          <w:lang w:val="en-US" w:eastAsia="zh-CN"/>
        </w:rPr>
        <w:t>列入国家计划、经省级招生考试机构审核后正式录取的高职高专院校全日制在校学生，或已取得告知高专院校全日制毕业证的学生。</w:t>
      </w:r>
    </w:p>
    <w:p w14:paraId="1FD9DA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sz w:val="24"/>
          <w:szCs w:val="24"/>
          <w:lang w:val="en-US" w:eastAsia="zh-CN"/>
        </w:rPr>
      </w:pPr>
      <w:r>
        <w:rPr>
          <w:rFonts w:hint="eastAsia"/>
          <w:sz w:val="24"/>
          <w:szCs w:val="24"/>
          <w:lang w:val="en-US" w:eastAsia="zh-CN"/>
        </w:rPr>
        <w:t>（二）思想品德优良，遵纪守法。</w:t>
      </w:r>
    </w:p>
    <w:p w14:paraId="555944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sz w:val="24"/>
          <w:szCs w:val="24"/>
          <w:lang w:val="en-US" w:eastAsia="zh-CN"/>
        </w:rPr>
      </w:pPr>
      <w:r>
        <w:rPr>
          <w:rFonts w:hint="eastAsia"/>
          <w:sz w:val="24"/>
          <w:szCs w:val="24"/>
          <w:lang w:val="en-US" w:eastAsia="zh-CN"/>
        </w:rPr>
        <w:t>（三）学习认真、刻苦，成绩优良，学有余力。</w:t>
      </w:r>
    </w:p>
    <w:p w14:paraId="1C38A3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三</w:t>
      </w:r>
      <w:r>
        <w:rPr>
          <w:rFonts w:hint="eastAsia" w:asciiTheme="minorHAnsi" w:hAnsiTheme="minorHAnsi" w:eastAsiaTheme="minorEastAsia" w:cstheme="minorBidi"/>
          <w:kern w:val="2"/>
          <w:sz w:val="24"/>
          <w:szCs w:val="24"/>
          <w:lang w:val="en-US" w:eastAsia="zh-CN" w:bidi="ar-SA"/>
        </w:rPr>
        <w:t>、报读自考本科的优势</w:t>
      </w:r>
    </w:p>
    <w:p w14:paraId="235B1F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xml:space="preserve">（一）免试入学，报读无需考试。 </w:t>
      </w:r>
    </w:p>
    <w:p w14:paraId="37E8AC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（二）不用专科毕业就可报读，就读大专的同时修习本科课程，专科和本科课程同时推进。</w:t>
      </w:r>
    </w:p>
    <w:p w14:paraId="52B799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（三）省时间省钱，大专毕业时，若本科所有课程成绩合格即可获得本科学校发</w:t>
      </w:r>
      <w:r>
        <w:rPr>
          <w:rFonts w:hint="eastAsia" w:cstheme="minorBidi"/>
          <w:kern w:val="2"/>
          <w:sz w:val="24"/>
          <w:szCs w:val="24"/>
          <w:lang w:val="en-US" w:eastAsia="zh-CN" w:bidi="ar-SA"/>
        </w:rPr>
        <w:t>放</w:t>
      </w:r>
      <w:r>
        <w:rPr>
          <w:rFonts w:hint="eastAsia" w:asciiTheme="minorHAnsi" w:hAnsiTheme="minorHAnsi" w:eastAsiaTheme="minorEastAsia" w:cstheme="minorBidi"/>
          <w:kern w:val="2"/>
          <w:sz w:val="24"/>
          <w:szCs w:val="24"/>
          <w:lang w:val="en-US" w:eastAsia="zh-CN" w:bidi="ar-SA"/>
        </w:rPr>
        <w:t>的本科毕业证书。</w:t>
      </w:r>
    </w:p>
    <w:p w14:paraId="2B50A9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（四）报读不要求专业对口，可根据个人需要跨专业报读。</w:t>
      </w:r>
    </w:p>
    <w:p w14:paraId="34AFDF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（五）毕业证，学信网可查询，可以考研、留学、考公务员、考事业单位、考教师编制、报考各类资格证、等级证等。</w:t>
      </w:r>
    </w:p>
    <w:p w14:paraId="1809A1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（六）在校生报读，统考专业课程成绩由“校考成绩30%+统考成绩70%”组成，统考通过率高于社会考生。</w:t>
      </w:r>
    </w:p>
    <w:p w14:paraId="24DE92A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sz w:val="24"/>
          <w:szCs w:val="24"/>
          <w:vertAlign w:val="baseline"/>
          <w:lang w:val="en-US" w:eastAsia="zh-CN"/>
        </w:rPr>
      </w:pPr>
      <w:r>
        <w:rPr>
          <w:rFonts w:hint="eastAsia"/>
          <w:sz w:val="24"/>
          <w:szCs w:val="24"/>
          <w:lang w:val="en-US" w:eastAsia="zh-CN"/>
        </w:rPr>
        <w:t>四、自考本科专业课程设置</w:t>
      </w:r>
    </w:p>
    <w:tbl>
      <w:tblPr>
        <w:tblStyle w:val="3"/>
        <w:tblW w:w="0" w:type="auto"/>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3435"/>
        <w:gridCol w:w="1110"/>
        <w:gridCol w:w="2400"/>
      </w:tblGrid>
      <w:tr w14:paraId="4A2E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14:paraId="01BDD826">
            <w:pPr>
              <w:numPr>
                <w:ilvl w:val="0"/>
                <w:numId w:val="0"/>
              </w:numPr>
              <w:rPr>
                <w:rFonts w:hint="default"/>
                <w:sz w:val="24"/>
                <w:szCs w:val="24"/>
                <w:vertAlign w:val="baseline"/>
                <w:lang w:val="en-US" w:eastAsia="zh-CN"/>
              </w:rPr>
            </w:pPr>
            <w:r>
              <w:rPr>
                <w:rFonts w:hint="eastAsia"/>
                <w:sz w:val="24"/>
                <w:szCs w:val="24"/>
                <w:vertAlign w:val="baseline"/>
                <w:lang w:val="en-US" w:eastAsia="zh-CN"/>
              </w:rPr>
              <w:t>课程性质</w:t>
            </w:r>
          </w:p>
        </w:tc>
        <w:tc>
          <w:tcPr>
            <w:tcW w:w="3435" w:type="dxa"/>
          </w:tcPr>
          <w:p w14:paraId="4F2D9AB3">
            <w:pPr>
              <w:numPr>
                <w:ilvl w:val="0"/>
                <w:numId w:val="0"/>
              </w:numPr>
              <w:rPr>
                <w:rFonts w:hint="default"/>
                <w:sz w:val="24"/>
                <w:szCs w:val="24"/>
                <w:vertAlign w:val="baseline"/>
                <w:lang w:val="en-US" w:eastAsia="zh-CN"/>
              </w:rPr>
            </w:pPr>
            <w:r>
              <w:rPr>
                <w:rFonts w:hint="eastAsia"/>
                <w:sz w:val="24"/>
                <w:szCs w:val="24"/>
                <w:vertAlign w:val="baseline"/>
                <w:lang w:val="en-US" w:eastAsia="zh-CN"/>
              </w:rPr>
              <w:t>详细介绍</w:t>
            </w:r>
          </w:p>
        </w:tc>
        <w:tc>
          <w:tcPr>
            <w:tcW w:w="1110" w:type="dxa"/>
          </w:tcPr>
          <w:p w14:paraId="2957B237">
            <w:pPr>
              <w:numPr>
                <w:ilvl w:val="0"/>
                <w:numId w:val="0"/>
              </w:numPr>
              <w:rPr>
                <w:rFonts w:hint="default"/>
                <w:sz w:val="24"/>
                <w:szCs w:val="24"/>
                <w:vertAlign w:val="baseline"/>
                <w:lang w:val="en-US" w:eastAsia="zh-CN"/>
              </w:rPr>
            </w:pPr>
            <w:r>
              <w:rPr>
                <w:rFonts w:hint="eastAsia"/>
                <w:sz w:val="24"/>
                <w:szCs w:val="24"/>
                <w:vertAlign w:val="baseline"/>
                <w:lang w:val="en-US" w:eastAsia="zh-CN"/>
              </w:rPr>
              <w:t>课程设置</w:t>
            </w:r>
          </w:p>
        </w:tc>
        <w:tc>
          <w:tcPr>
            <w:tcW w:w="2400" w:type="dxa"/>
          </w:tcPr>
          <w:p w14:paraId="51FBEE09">
            <w:pPr>
              <w:numPr>
                <w:ilvl w:val="0"/>
                <w:numId w:val="0"/>
              </w:numPr>
              <w:rPr>
                <w:rFonts w:hint="default"/>
                <w:sz w:val="24"/>
                <w:szCs w:val="24"/>
                <w:vertAlign w:val="baseline"/>
                <w:lang w:val="en-US" w:eastAsia="zh-CN"/>
              </w:rPr>
            </w:pPr>
            <w:r>
              <w:rPr>
                <w:rFonts w:hint="eastAsia"/>
                <w:sz w:val="24"/>
                <w:szCs w:val="24"/>
                <w:vertAlign w:val="baseline"/>
                <w:lang w:val="en-US" w:eastAsia="zh-CN"/>
              </w:rPr>
              <w:t>考核方式</w:t>
            </w:r>
          </w:p>
        </w:tc>
      </w:tr>
      <w:tr w14:paraId="2126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14:paraId="284FED8F">
            <w:pPr>
              <w:numPr>
                <w:ilvl w:val="0"/>
                <w:numId w:val="0"/>
              </w:numPr>
              <w:rPr>
                <w:rFonts w:hint="eastAsia"/>
                <w:sz w:val="24"/>
                <w:szCs w:val="24"/>
                <w:vertAlign w:val="baseline"/>
                <w:lang w:val="en-US" w:eastAsia="zh-CN"/>
              </w:rPr>
            </w:pPr>
          </w:p>
          <w:p w14:paraId="5754DF42">
            <w:pPr>
              <w:numPr>
                <w:ilvl w:val="0"/>
                <w:numId w:val="0"/>
              </w:numPr>
              <w:rPr>
                <w:rFonts w:hint="default"/>
                <w:sz w:val="24"/>
                <w:szCs w:val="24"/>
                <w:vertAlign w:val="baseline"/>
                <w:lang w:val="en-US" w:eastAsia="zh-CN"/>
              </w:rPr>
            </w:pPr>
            <w:r>
              <w:rPr>
                <w:rFonts w:hint="eastAsia"/>
                <w:sz w:val="24"/>
                <w:szCs w:val="24"/>
                <w:vertAlign w:val="baseline"/>
                <w:lang w:val="en-US" w:eastAsia="zh-CN"/>
              </w:rPr>
              <w:t>沟通课程</w:t>
            </w:r>
          </w:p>
        </w:tc>
        <w:tc>
          <w:tcPr>
            <w:tcW w:w="3435" w:type="dxa"/>
          </w:tcPr>
          <w:p w14:paraId="35E79DF1">
            <w:pPr>
              <w:numPr>
                <w:ilvl w:val="0"/>
                <w:numId w:val="0"/>
              </w:numPr>
              <w:rPr>
                <w:rFonts w:hint="default"/>
                <w:sz w:val="24"/>
                <w:szCs w:val="24"/>
                <w:vertAlign w:val="baseline"/>
                <w:lang w:val="en-US" w:eastAsia="zh-CN"/>
              </w:rPr>
            </w:pPr>
            <w:r>
              <w:rPr>
                <w:rFonts w:hint="default"/>
                <w:sz w:val="24"/>
                <w:szCs w:val="24"/>
                <w:vertAlign w:val="baseline"/>
                <w:lang w:val="en-US" w:eastAsia="zh-CN"/>
              </w:rPr>
              <w:t>一般为公共政治课和公共基础课。课程成绩是衔接试点考生参加本校专科专业相同或相近课程学习的过程性考核成绩。</w:t>
            </w:r>
          </w:p>
        </w:tc>
        <w:tc>
          <w:tcPr>
            <w:tcW w:w="1110" w:type="dxa"/>
          </w:tcPr>
          <w:p w14:paraId="42168B59">
            <w:pPr>
              <w:numPr>
                <w:ilvl w:val="0"/>
                <w:numId w:val="0"/>
              </w:numPr>
              <w:rPr>
                <w:rFonts w:hint="eastAsia"/>
                <w:sz w:val="24"/>
                <w:szCs w:val="24"/>
                <w:vertAlign w:val="baseline"/>
                <w:lang w:val="en-US" w:eastAsia="zh-CN"/>
              </w:rPr>
            </w:pPr>
          </w:p>
          <w:p w14:paraId="39D9D116">
            <w:pPr>
              <w:numPr>
                <w:ilvl w:val="0"/>
                <w:numId w:val="0"/>
              </w:numPr>
              <w:rPr>
                <w:rFonts w:hint="default"/>
                <w:sz w:val="24"/>
                <w:szCs w:val="24"/>
                <w:vertAlign w:val="baseline"/>
                <w:lang w:val="en-US" w:eastAsia="zh-CN"/>
              </w:rPr>
            </w:pPr>
            <w:r>
              <w:rPr>
                <w:rFonts w:hint="eastAsia"/>
                <w:sz w:val="24"/>
                <w:szCs w:val="24"/>
                <w:vertAlign w:val="baseline"/>
                <w:lang w:val="en-US" w:eastAsia="zh-CN"/>
              </w:rPr>
              <w:t>3-5门</w:t>
            </w:r>
          </w:p>
        </w:tc>
        <w:tc>
          <w:tcPr>
            <w:tcW w:w="2400" w:type="dxa"/>
          </w:tcPr>
          <w:p w14:paraId="38871680">
            <w:pPr>
              <w:numPr>
                <w:ilvl w:val="0"/>
                <w:numId w:val="0"/>
              </w:numPr>
              <w:rPr>
                <w:rFonts w:hint="default"/>
                <w:sz w:val="24"/>
                <w:szCs w:val="24"/>
                <w:vertAlign w:val="baseline"/>
                <w:lang w:val="en-US" w:eastAsia="zh-CN"/>
              </w:rPr>
            </w:pPr>
            <w:r>
              <w:rPr>
                <w:rFonts w:hint="default"/>
                <w:sz w:val="24"/>
                <w:szCs w:val="24"/>
                <w:vertAlign w:val="baseline"/>
                <w:lang w:val="en-US" w:eastAsia="zh-CN"/>
              </w:rPr>
              <w:t>高职高专院校负责出具学校教务部门的相关课程成绩进行互认。</w:t>
            </w:r>
          </w:p>
        </w:tc>
      </w:tr>
      <w:tr w14:paraId="6CEA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14:paraId="55F04D0E">
            <w:pPr>
              <w:numPr>
                <w:ilvl w:val="0"/>
                <w:numId w:val="0"/>
              </w:numPr>
              <w:rPr>
                <w:rFonts w:hint="eastAsia"/>
                <w:sz w:val="24"/>
                <w:szCs w:val="24"/>
                <w:vertAlign w:val="baseline"/>
                <w:lang w:val="en-US" w:eastAsia="zh-CN"/>
              </w:rPr>
            </w:pPr>
          </w:p>
          <w:p w14:paraId="2EA06ECE">
            <w:pPr>
              <w:numPr>
                <w:ilvl w:val="0"/>
                <w:numId w:val="0"/>
              </w:numPr>
              <w:rPr>
                <w:rFonts w:hint="eastAsia"/>
                <w:sz w:val="24"/>
                <w:szCs w:val="24"/>
                <w:vertAlign w:val="baseline"/>
                <w:lang w:val="en-US" w:eastAsia="zh-CN"/>
              </w:rPr>
            </w:pPr>
          </w:p>
          <w:p w14:paraId="3C247284">
            <w:pPr>
              <w:numPr>
                <w:ilvl w:val="0"/>
                <w:numId w:val="0"/>
              </w:numPr>
              <w:rPr>
                <w:rFonts w:hint="default"/>
                <w:sz w:val="24"/>
                <w:szCs w:val="24"/>
                <w:vertAlign w:val="baseline"/>
                <w:lang w:val="en-US" w:eastAsia="zh-CN"/>
              </w:rPr>
            </w:pPr>
            <w:r>
              <w:rPr>
                <w:rFonts w:hint="eastAsia"/>
                <w:sz w:val="24"/>
                <w:szCs w:val="24"/>
                <w:vertAlign w:val="baseline"/>
                <w:lang w:val="en-US" w:eastAsia="zh-CN"/>
              </w:rPr>
              <w:t>衔接课程</w:t>
            </w:r>
          </w:p>
        </w:tc>
        <w:tc>
          <w:tcPr>
            <w:tcW w:w="3435" w:type="dxa"/>
          </w:tcPr>
          <w:p w14:paraId="6CF2ACB5">
            <w:pPr>
              <w:numPr>
                <w:ilvl w:val="0"/>
                <w:numId w:val="0"/>
              </w:numPr>
              <w:rPr>
                <w:rFonts w:hint="default"/>
                <w:sz w:val="24"/>
                <w:szCs w:val="24"/>
                <w:vertAlign w:val="baseline"/>
                <w:lang w:val="en-US" w:eastAsia="zh-CN"/>
              </w:rPr>
            </w:pPr>
            <w:r>
              <w:rPr>
                <w:rFonts w:hint="default"/>
                <w:sz w:val="24"/>
                <w:szCs w:val="24"/>
                <w:vertAlign w:val="baseline"/>
                <w:lang w:val="en-US" w:eastAsia="zh-CN"/>
              </w:rPr>
              <w:t>为专业课。课程成绩由衔接试点考生参加本校专科专业中相同或相近课程学习及按照助学辅导计划参加本科课程学习的过程性考核成绩和自考统考成绩按一定比例综合确定</w:t>
            </w:r>
          </w:p>
        </w:tc>
        <w:tc>
          <w:tcPr>
            <w:tcW w:w="1110" w:type="dxa"/>
          </w:tcPr>
          <w:p w14:paraId="0C48E8FD">
            <w:pPr>
              <w:numPr>
                <w:ilvl w:val="0"/>
                <w:numId w:val="0"/>
              </w:numPr>
              <w:rPr>
                <w:rFonts w:hint="eastAsia"/>
                <w:sz w:val="24"/>
                <w:szCs w:val="24"/>
                <w:vertAlign w:val="baseline"/>
                <w:lang w:val="en-US" w:eastAsia="zh-CN"/>
              </w:rPr>
            </w:pPr>
          </w:p>
          <w:p w14:paraId="22F791AD">
            <w:pPr>
              <w:numPr>
                <w:ilvl w:val="0"/>
                <w:numId w:val="0"/>
              </w:numPr>
              <w:rPr>
                <w:rFonts w:hint="eastAsia"/>
                <w:sz w:val="24"/>
                <w:szCs w:val="24"/>
                <w:vertAlign w:val="baseline"/>
                <w:lang w:val="en-US" w:eastAsia="zh-CN"/>
              </w:rPr>
            </w:pPr>
          </w:p>
          <w:p w14:paraId="3C6BA1D6">
            <w:pPr>
              <w:numPr>
                <w:ilvl w:val="0"/>
                <w:numId w:val="0"/>
              </w:numPr>
              <w:rPr>
                <w:rFonts w:hint="default"/>
                <w:sz w:val="24"/>
                <w:szCs w:val="24"/>
                <w:vertAlign w:val="baseline"/>
                <w:lang w:val="en-US" w:eastAsia="zh-CN"/>
              </w:rPr>
            </w:pPr>
            <w:r>
              <w:rPr>
                <w:rFonts w:hint="eastAsia"/>
                <w:sz w:val="24"/>
                <w:szCs w:val="24"/>
                <w:vertAlign w:val="baseline"/>
                <w:lang w:val="en-US" w:eastAsia="zh-CN"/>
              </w:rPr>
              <w:t>6-12门</w:t>
            </w:r>
          </w:p>
        </w:tc>
        <w:tc>
          <w:tcPr>
            <w:tcW w:w="2400" w:type="dxa"/>
          </w:tcPr>
          <w:p w14:paraId="177B5041">
            <w:pPr>
              <w:numPr>
                <w:ilvl w:val="0"/>
                <w:numId w:val="0"/>
              </w:numPr>
              <w:rPr>
                <w:rFonts w:hint="default"/>
                <w:sz w:val="24"/>
                <w:szCs w:val="24"/>
                <w:vertAlign w:val="baseline"/>
                <w:lang w:val="en-US" w:eastAsia="zh-CN"/>
              </w:rPr>
            </w:pPr>
            <w:r>
              <w:rPr>
                <w:rFonts w:hint="default"/>
                <w:sz w:val="24"/>
                <w:szCs w:val="24"/>
                <w:vertAlign w:val="baseline"/>
                <w:lang w:val="en-US" w:eastAsia="zh-CN"/>
              </w:rPr>
              <w:t>需参加全国自考统考。统考成绩最低占总分的70%；过程性考核成绩最高占总分的30%。</w:t>
            </w:r>
          </w:p>
        </w:tc>
      </w:tr>
      <w:tr w14:paraId="4603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14:paraId="66290147">
            <w:pPr>
              <w:numPr>
                <w:ilvl w:val="0"/>
                <w:numId w:val="0"/>
              </w:numPr>
              <w:rPr>
                <w:rFonts w:hint="eastAsia"/>
                <w:sz w:val="24"/>
                <w:szCs w:val="24"/>
                <w:vertAlign w:val="baseline"/>
                <w:lang w:val="en-US" w:eastAsia="zh-CN"/>
              </w:rPr>
            </w:pPr>
          </w:p>
          <w:p w14:paraId="2B7FC845">
            <w:pPr>
              <w:numPr>
                <w:ilvl w:val="0"/>
                <w:numId w:val="0"/>
              </w:numPr>
              <w:rPr>
                <w:rFonts w:hint="default"/>
                <w:sz w:val="24"/>
                <w:szCs w:val="24"/>
                <w:vertAlign w:val="baseline"/>
                <w:lang w:val="en-US" w:eastAsia="zh-CN"/>
              </w:rPr>
            </w:pPr>
            <w:r>
              <w:rPr>
                <w:rFonts w:hint="eastAsia"/>
                <w:sz w:val="24"/>
                <w:szCs w:val="24"/>
                <w:vertAlign w:val="baseline"/>
                <w:lang w:val="en-US" w:eastAsia="zh-CN"/>
              </w:rPr>
              <w:t>实践与运用课程</w:t>
            </w:r>
          </w:p>
        </w:tc>
        <w:tc>
          <w:tcPr>
            <w:tcW w:w="3435" w:type="dxa"/>
          </w:tcPr>
          <w:p w14:paraId="7422529D">
            <w:pPr>
              <w:numPr>
                <w:ilvl w:val="0"/>
                <w:numId w:val="0"/>
              </w:numPr>
              <w:rPr>
                <w:rFonts w:hint="default"/>
                <w:sz w:val="24"/>
                <w:szCs w:val="24"/>
                <w:vertAlign w:val="baseline"/>
                <w:lang w:val="en-US" w:eastAsia="zh-CN"/>
              </w:rPr>
            </w:pPr>
            <w:r>
              <w:rPr>
                <w:rFonts w:hint="default"/>
                <w:sz w:val="24"/>
                <w:szCs w:val="24"/>
                <w:vertAlign w:val="baseline"/>
                <w:lang w:val="en-US" w:eastAsia="zh-CN"/>
              </w:rPr>
              <w:t>为针对衔接试点专业增设的特色课程。课程成绩是衔接试点考生参加针对衔接试点专业增设的特色课程学习的过程性考核成绩。</w:t>
            </w:r>
          </w:p>
        </w:tc>
        <w:tc>
          <w:tcPr>
            <w:tcW w:w="1110" w:type="dxa"/>
          </w:tcPr>
          <w:p w14:paraId="65D74627">
            <w:pPr>
              <w:numPr>
                <w:ilvl w:val="0"/>
                <w:numId w:val="0"/>
              </w:numPr>
              <w:rPr>
                <w:rFonts w:hint="eastAsia"/>
                <w:sz w:val="24"/>
                <w:szCs w:val="24"/>
                <w:vertAlign w:val="baseline"/>
                <w:lang w:val="en-US" w:eastAsia="zh-CN"/>
              </w:rPr>
            </w:pPr>
          </w:p>
          <w:p w14:paraId="3A4D8447">
            <w:pPr>
              <w:numPr>
                <w:ilvl w:val="0"/>
                <w:numId w:val="0"/>
              </w:numPr>
              <w:rPr>
                <w:rFonts w:hint="default"/>
                <w:sz w:val="24"/>
                <w:szCs w:val="24"/>
                <w:vertAlign w:val="baseline"/>
                <w:lang w:val="en-US" w:eastAsia="zh-CN"/>
              </w:rPr>
            </w:pPr>
            <w:r>
              <w:rPr>
                <w:rFonts w:hint="eastAsia"/>
                <w:sz w:val="24"/>
                <w:szCs w:val="24"/>
                <w:vertAlign w:val="baseline"/>
                <w:lang w:val="en-US" w:eastAsia="zh-CN"/>
              </w:rPr>
              <w:t>3-5门</w:t>
            </w:r>
          </w:p>
        </w:tc>
        <w:tc>
          <w:tcPr>
            <w:tcW w:w="2400" w:type="dxa"/>
          </w:tcPr>
          <w:p w14:paraId="3A0F176E">
            <w:pPr>
              <w:numPr>
                <w:ilvl w:val="0"/>
                <w:numId w:val="0"/>
              </w:numPr>
              <w:rPr>
                <w:rFonts w:hint="default"/>
                <w:sz w:val="24"/>
                <w:szCs w:val="24"/>
                <w:vertAlign w:val="baseline"/>
                <w:lang w:val="en-US" w:eastAsia="zh-CN"/>
              </w:rPr>
            </w:pPr>
            <w:r>
              <w:rPr>
                <w:rFonts w:hint="default"/>
                <w:sz w:val="24"/>
                <w:szCs w:val="24"/>
                <w:vertAlign w:val="baseline"/>
                <w:lang w:val="en-US" w:eastAsia="zh-CN"/>
              </w:rPr>
              <w:t>高职高专院校在我校的组织指导下完成。</w:t>
            </w:r>
          </w:p>
        </w:tc>
      </w:tr>
    </w:tbl>
    <w:p w14:paraId="7B7A9354">
      <w:pPr>
        <w:numPr>
          <w:ilvl w:val="0"/>
          <w:numId w:val="0"/>
        </w:numPr>
        <w:rPr>
          <w:rFonts w:hint="eastAsia" w:asciiTheme="minorHAnsi" w:hAnsiTheme="minorHAnsi" w:eastAsiaTheme="minorEastAsia" w:cstheme="minorBidi"/>
          <w:kern w:val="2"/>
          <w:sz w:val="30"/>
          <w:szCs w:val="30"/>
          <w:lang w:val="en-US" w:eastAsia="zh-CN" w:bidi="ar-SA"/>
        </w:rPr>
      </w:pPr>
    </w:p>
    <w:p w14:paraId="3F620994">
      <w:pPr>
        <w:numPr>
          <w:ilvl w:val="0"/>
          <w:numId w:val="0"/>
        </w:numPr>
        <w:rPr>
          <w:rFonts w:hint="eastAsia"/>
          <w:sz w:val="24"/>
          <w:szCs w:val="24"/>
          <w:lang w:val="en-US" w:eastAsia="zh-CN"/>
        </w:rPr>
      </w:pPr>
      <w:r>
        <w:rPr>
          <w:rFonts w:hint="eastAsia" w:asciiTheme="minorHAnsi" w:hAnsiTheme="minorHAnsi" w:eastAsiaTheme="minorEastAsia" w:cstheme="minorBidi"/>
          <w:kern w:val="2"/>
          <w:sz w:val="24"/>
          <w:szCs w:val="24"/>
          <w:lang w:val="en-US" w:eastAsia="zh-CN" w:bidi="ar-SA"/>
        </w:rPr>
        <w:t>五、</w:t>
      </w:r>
      <w:r>
        <w:rPr>
          <w:rFonts w:hint="eastAsia"/>
          <w:sz w:val="24"/>
          <w:szCs w:val="24"/>
          <w:lang w:val="en-US" w:eastAsia="zh-CN"/>
        </w:rPr>
        <w:t>学习方式及考试形式</w:t>
      </w:r>
    </w:p>
    <w:tbl>
      <w:tblPr>
        <w:tblStyle w:val="3"/>
        <w:tblW w:w="0" w:type="auto"/>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3480"/>
        <w:gridCol w:w="2920"/>
      </w:tblGrid>
      <w:tr w14:paraId="2235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tcPr>
          <w:p w14:paraId="011F2D14">
            <w:pPr>
              <w:numPr>
                <w:ilvl w:val="0"/>
                <w:numId w:val="0"/>
              </w:numPr>
              <w:rPr>
                <w:rFonts w:hint="default"/>
                <w:sz w:val="24"/>
                <w:szCs w:val="24"/>
                <w:vertAlign w:val="baseline"/>
                <w:lang w:val="en-US" w:eastAsia="zh-CN"/>
              </w:rPr>
            </w:pPr>
            <w:r>
              <w:rPr>
                <w:rFonts w:hint="eastAsia"/>
                <w:sz w:val="24"/>
                <w:szCs w:val="24"/>
                <w:vertAlign w:val="baseline"/>
                <w:lang w:val="en-US" w:eastAsia="zh-CN"/>
              </w:rPr>
              <w:t>区别内容</w:t>
            </w:r>
          </w:p>
        </w:tc>
        <w:tc>
          <w:tcPr>
            <w:tcW w:w="3480" w:type="dxa"/>
          </w:tcPr>
          <w:p w14:paraId="02DC11EE">
            <w:pPr>
              <w:numPr>
                <w:ilvl w:val="0"/>
                <w:numId w:val="0"/>
              </w:numPr>
              <w:rPr>
                <w:rFonts w:hint="default"/>
                <w:sz w:val="24"/>
                <w:szCs w:val="24"/>
                <w:vertAlign w:val="baseline"/>
                <w:lang w:val="en-US" w:eastAsia="zh-CN"/>
              </w:rPr>
            </w:pPr>
            <w:r>
              <w:rPr>
                <w:rFonts w:hint="eastAsia"/>
                <w:sz w:val="24"/>
                <w:szCs w:val="24"/>
                <w:vertAlign w:val="baseline"/>
                <w:lang w:val="en-US" w:eastAsia="zh-CN"/>
              </w:rPr>
              <w:t>自考网络助学（线上学习）</w:t>
            </w:r>
          </w:p>
        </w:tc>
        <w:tc>
          <w:tcPr>
            <w:tcW w:w="2920" w:type="dxa"/>
          </w:tcPr>
          <w:p w14:paraId="1FAD97E3">
            <w:pPr>
              <w:numPr>
                <w:ilvl w:val="0"/>
                <w:numId w:val="0"/>
              </w:numPr>
              <w:rPr>
                <w:rFonts w:hint="default"/>
                <w:sz w:val="24"/>
                <w:szCs w:val="24"/>
                <w:vertAlign w:val="baseline"/>
                <w:lang w:val="en-US" w:eastAsia="zh-CN"/>
              </w:rPr>
            </w:pPr>
            <w:r>
              <w:rPr>
                <w:rFonts w:hint="eastAsia"/>
                <w:sz w:val="24"/>
                <w:szCs w:val="24"/>
                <w:vertAlign w:val="baseline"/>
                <w:lang w:val="en-US" w:eastAsia="zh-CN"/>
              </w:rPr>
              <w:t>自考专本衔接（线下授课）</w:t>
            </w:r>
          </w:p>
        </w:tc>
      </w:tr>
      <w:tr w14:paraId="0017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tcPr>
          <w:p w14:paraId="1EE2953C">
            <w:pPr>
              <w:numPr>
                <w:ilvl w:val="0"/>
                <w:numId w:val="0"/>
              </w:numPr>
              <w:rPr>
                <w:rFonts w:hint="default"/>
                <w:sz w:val="24"/>
                <w:szCs w:val="24"/>
                <w:vertAlign w:val="baseline"/>
                <w:lang w:val="en-US" w:eastAsia="zh-CN"/>
              </w:rPr>
            </w:pPr>
            <w:r>
              <w:rPr>
                <w:rFonts w:hint="eastAsia"/>
                <w:sz w:val="24"/>
                <w:szCs w:val="24"/>
                <w:vertAlign w:val="baseline"/>
                <w:lang w:val="en-US" w:eastAsia="zh-CN"/>
              </w:rPr>
              <w:t>招生对象</w:t>
            </w:r>
          </w:p>
        </w:tc>
        <w:tc>
          <w:tcPr>
            <w:tcW w:w="3480" w:type="dxa"/>
          </w:tcPr>
          <w:p w14:paraId="5ADE82F3">
            <w:pPr>
              <w:numPr>
                <w:ilvl w:val="0"/>
                <w:numId w:val="0"/>
              </w:numPr>
              <w:rPr>
                <w:rFonts w:hint="eastAsia"/>
                <w:sz w:val="24"/>
                <w:szCs w:val="24"/>
                <w:vertAlign w:val="baseline"/>
                <w:lang w:val="en-US" w:eastAsia="zh-CN"/>
              </w:rPr>
            </w:pPr>
            <w:r>
              <w:rPr>
                <w:rFonts w:hint="default"/>
                <w:sz w:val="24"/>
                <w:szCs w:val="24"/>
                <w:vertAlign w:val="baseline"/>
                <w:lang w:val="en-US" w:eastAsia="zh-CN"/>
              </w:rPr>
              <w:t>①</w:t>
            </w:r>
            <w:r>
              <w:rPr>
                <w:rFonts w:hint="eastAsia"/>
                <w:sz w:val="24"/>
                <w:szCs w:val="24"/>
                <w:vertAlign w:val="baseline"/>
                <w:lang w:val="en-US" w:eastAsia="zh-CN"/>
              </w:rPr>
              <w:t>专科在校生（大一、大二、大三均可以报读）</w:t>
            </w:r>
          </w:p>
          <w:p w14:paraId="56C232EF">
            <w:pPr>
              <w:numPr>
                <w:ilvl w:val="0"/>
                <w:numId w:val="0"/>
              </w:numPr>
              <w:rPr>
                <w:rFonts w:hint="default"/>
                <w:sz w:val="24"/>
                <w:szCs w:val="24"/>
                <w:vertAlign w:val="baseline"/>
                <w:lang w:val="en-US" w:eastAsia="zh-CN"/>
              </w:rPr>
            </w:pPr>
            <w:r>
              <w:rPr>
                <w:rFonts w:hint="default"/>
                <w:sz w:val="24"/>
                <w:szCs w:val="24"/>
                <w:vertAlign w:val="baseline"/>
                <w:lang w:val="en-US" w:eastAsia="zh-CN"/>
              </w:rPr>
              <w:t>②</w:t>
            </w:r>
            <w:r>
              <w:rPr>
                <w:rFonts w:hint="eastAsia"/>
                <w:sz w:val="24"/>
                <w:szCs w:val="24"/>
                <w:vertAlign w:val="baseline"/>
                <w:lang w:val="en-US" w:eastAsia="zh-CN"/>
              </w:rPr>
              <w:t>往届本校毕业生</w:t>
            </w:r>
          </w:p>
        </w:tc>
        <w:tc>
          <w:tcPr>
            <w:tcW w:w="2920" w:type="dxa"/>
          </w:tcPr>
          <w:p w14:paraId="3B9C45A9">
            <w:pPr>
              <w:numPr>
                <w:ilvl w:val="0"/>
                <w:numId w:val="0"/>
              </w:numPr>
              <w:rPr>
                <w:rFonts w:hint="default"/>
                <w:sz w:val="24"/>
                <w:szCs w:val="24"/>
                <w:vertAlign w:val="baseline"/>
                <w:lang w:val="en-US" w:eastAsia="zh-CN"/>
              </w:rPr>
            </w:pPr>
            <w:r>
              <w:rPr>
                <w:rFonts w:hint="eastAsia"/>
                <w:sz w:val="24"/>
                <w:szCs w:val="24"/>
                <w:vertAlign w:val="baseline"/>
                <w:lang w:val="en-US" w:eastAsia="zh-CN"/>
              </w:rPr>
              <w:t>专科在校生（仅限大一、大二）</w:t>
            </w:r>
          </w:p>
        </w:tc>
      </w:tr>
      <w:tr w14:paraId="2153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tcPr>
          <w:p w14:paraId="5780B65B">
            <w:pPr>
              <w:numPr>
                <w:ilvl w:val="0"/>
                <w:numId w:val="0"/>
              </w:numPr>
              <w:rPr>
                <w:rFonts w:hint="default"/>
                <w:sz w:val="24"/>
                <w:szCs w:val="24"/>
                <w:vertAlign w:val="baseline"/>
                <w:lang w:val="en-US" w:eastAsia="zh-CN"/>
              </w:rPr>
            </w:pPr>
            <w:r>
              <w:rPr>
                <w:rFonts w:hint="eastAsia"/>
                <w:sz w:val="24"/>
                <w:szCs w:val="24"/>
                <w:vertAlign w:val="baseline"/>
                <w:lang w:val="en-US" w:eastAsia="zh-CN"/>
              </w:rPr>
              <w:t>学习方式</w:t>
            </w:r>
          </w:p>
        </w:tc>
        <w:tc>
          <w:tcPr>
            <w:tcW w:w="3480" w:type="dxa"/>
          </w:tcPr>
          <w:p w14:paraId="7FFABCE3">
            <w:pPr>
              <w:numPr>
                <w:ilvl w:val="0"/>
                <w:numId w:val="0"/>
              </w:numPr>
              <w:rPr>
                <w:rFonts w:hint="eastAsia"/>
                <w:sz w:val="24"/>
                <w:szCs w:val="24"/>
                <w:vertAlign w:val="baseline"/>
                <w:lang w:val="en-US" w:eastAsia="zh-CN"/>
              </w:rPr>
            </w:pPr>
            <w:r>
              <w:rPr>
                <w:rFonts w:hint="eastAsia"/>
                <w:sz w:val="24"/>
                <w:szCs w:val="24"/>
                <w:vertAlign w:val="baseline"/>
                <w:lang w:val="en-US" w:eastAsia="zh-CN"/>
              </w:rPr>
              <w:t>电脑、手机APP</w:t>
            </w:r>
          </w:p>
          <w:p w14:paraId="1097200C">
            <w:pPr>
              <w:numPr>
                <w:ilvl w:val="0"/>
                <w:numId w:val="0"/>
              </w:numPr>
              <w:rPr>
                <w:rFonts w:hint="default"/>
                <w:sz w:val="24"/>
                <w:szCs w:val="24"/>
                <w:vertAlign w:val="baseline"/>
                <w:lang w:val="en-US" w:eastAsia="zh-CN"/>
              </w:rPr>
            </w:pPr>
            <w:r>
              <w:rPr>
                <w:rFonts w:hint="eastAsia"/>
                <w:sz w:val="24"/>
                <w:szCs w:val="24"/>
                <w:vertAlign w:val="baseline"/>
                <w:lang w:val="en-US" w:eastAsia="zh-CN"/>
              </w:rPr>
              <w:t>随时、随地，线上学习</w:t>
            </w:r>
          </w:p>
        </w:tc>
        <w:tc>
          <w:tcPr>
            <w:tcW w:w="2920" w:type="dxa"/>
          </w:tcPr>
          <w:p w14:paraId="3A4C1083">
            <w:pPr>
              <w:numPr>
                <w:ilvl w:val="0"/>
                <w:numId w:val="0"/>
              </w:numPr>
              <w:rPr>
                <w:rFonts w:hint="eastAsia"/>
                <w:sz w:val="24"/>
                <w:szCs w:val="24"/>
                <w:vertAlign w:val="baseline"/>
                <w:lang w:val="en-US" w:eastAsia="zh-CN"/>
              </w:rPr>
            </w:pPr>
            <w:r>
              <w:rPr>
                <w:rFonts w:hint="eastAsia"/>
                <w:sz w:val="24"/>
                <w:szCs w:val="24"/>
                <w:vertAlign w:val="baseline"/>
                <w:lang w:val="en-US" w:eastAsia="zh-CN"/>
              </w:rPr>
              <w:t>老师集中授课</w:t>
            </w:r>
          </w:p>
          <w:p w14:paraId="59818453">
            <w:pPr>
              <w:numPr>
                <w:ilvl w:val="0"/>
                <w:numId w:val="0"/>
              </w:numPr>
              <w:rPr>
                <w:rFonts w:hint="default"/>
                <w:sz w:val="24"/>
                <w:szCs w:val="24"/>
                <w:vertAlign w:val="baseline"/>
                <w:lang w:val="en-US" w:eastAsia="zh-CN"/>
              </w:rPr>
            </w:pPr>
            <w:r>
              <w:rPr>
                <w:rFonts w:hint="eastAsia"/>
                <w:sz w:val="24"/>
                <w:szCs w:val="24"/>
                <w:vertAlign w:val="baseline"/>
                <w:lang w:val="en-US" w:eastAsia="zh-CN"/>
              </w:rPr>
              <w:t>周末、晚上或假期，线下学习</w:t>
            </w:r>
          </w:p>
        </w:tc>
      </w:tr>
      <w:tr w14:paraId="7DC8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tcPr>
          <w:p w14:paraId="1BF8912B">
            <w:pPr>
              <w:numPr>
                <w:ilvl w:val="0"/>
                <w:numId w:val="0"/>
              </w:numPr>
              <w:rPr>
                <w:rFonts w:hint="default"/>
                <w:sz w:val="24"/>
                <w:szCs w:val="24"/>
                <w:vertAlign w:val="baseline"/>
                <w:lang w:val="en-US" w:eastAsia="zh-CN"/>
              </w:rPr>
            </w:pPr>
            <w:r>
              <w:rPr>
                <w:rFonts w:hint="eastAsia"/>
                <w:sz w:val="24"/>
                <w:szCs w:val="24"/>
                <w:vertAlign w:val="baseline"/>
                <w:lang w:val="en-US" w:eastAsia="zh-CN"/>
              </w:rPr>
              <w:t>专业课成绩合成</w:t>
            </w:r>
          </w:p>
        </w:tc>
        <w:tc>
          <w:tcPr>
            <w:tcW w:w="3480" w:type="dxa"/>
          </w:tcPr>
          <w:p w14:paraId="48A88D2F">
            <w:pPr>
              <w:numPr>
                <w:ilvl w:val="0"/>
                <w:numId w:val="0"/>
              </w:numPr>
              <w:rPr>
                <w:rFonts w:hint="default"/>
                <w:sz w:val="24"/>
                <w:szCs w:val="24"/>
                <w:vertAlign w:val="baseline"/>
                <w:lang w:val="en-US" w:eastAsia="zh-CN"/>
              </w:rPr>
            </w:pPr>
            <w:r>
              <w:rPr>
                <w:rFonts w:hint="eastAsia"/>
                <w:sz w:val="24"/>
                <w:szCs w:val="24"/>
                <w:vertAlign w:val="baseline"/>
                <w:lang w:val="en-US" w:eastAsia="zh-CN"/>
              </w:rPr>
              <w:t>网络学习成绩x30%+国家统考成绩x70%</w:t>
            </w:r>
          </w:p>
        </w:tc>
        <w:tc>
          <w:tcPr>
            <w:tcW w:w="2920" w:type="dxa"/>
          </w:tcPr>
          <w:p w14:paraId="26BA8C44">
            <w:pPr>
              <w:numPr>
                <w:ilvl w:val="0"/>
                <w:numId w:val="0"/>
              </w:numPr>
              <w:rPr>
                <w:rFonts w:hint="default"/>
                <w:sz w:val="24"/>
                <w:szCs w:val="24"/>
                <w:vertAlign w:val="baseline"/>
                <w:lang w:val="en-US" w:eastAsia="zh-CN"/>
              </w:rPr>
            </w:pPr>
            <w:r>
              <w:rPr>
                <w:rFonts w:hint="eastAsia"/>
                <w:sz w:val="24"/>
                <w:szCs w:val="24"/>
                <w:vertAlign w:val="baseline"/>
                <w:lang w:val="en-US" w:eastAsia="zh-CN"/>
              </w:rPr>
              <w:t>校考成绩x30%+国家统考成绩x70%</w:t>
            </w:r>
          </w:p>
        </w:tc>
      </w:tr>
      <w:tr w14:paraId="3D73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tcPr>
          <w:p w14:paraId="09833AD9">
            <w:pPr>
              <w:numPr>
                <w:ilvl w:val="0"/>
                <w:numId w:val="0"/>
              </w:numPr>
              <w:rPr>
                <w:rFonts w:hint="default"/>
                <w:sz w:val="24"/>
                <w:szCs w:val="24"/>
                <w:vertAlign w:val="baseline"/>
                <w:lang w:val="en-US" w:eastAsia="zh-CN"/>
              </w:rPr>
            </w:pPr>
            <w:r>
              <w:rPr>
                <w:rFonts w:hint="eastAsia"/>
                <w:sz w:val="24"/>
                <w:szCs w:val="24"/>
                <w:vertAlign w:val="baseline"/>
                <w:lang w:val="en-US" w:eastAsia="zh-CN"/>
              </w:rPr>
              <w:t>网络学习成绩（校考成绩）有效期</w:t>
            </w:r>
          </w:p>
        </w:tc>
        <w:tc>
          <w:tcPr>
            <w:tcW w:w="3480" w:type="dxa"/>
          </w:tcPr>
          <w:p w14:paraId="019CA3FB">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永久有效</w:t>
            </w:r>
          </w:p>
        </w:tc>
        <w:tc>
          <w:tcPr>
            <w:tcW w:w="2920" w:type="dxa"/>
          </w:tcPr>
          <w:p w14:paraId="5181F94D">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毕业后5年内有效</w:t>
            </w:r>
          </w:p>
        </w:tc>
      </w:tr>
      <w:tr w14:paraId="04E5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tcPr>
          <w:p w14:paraId="217C8BF6">
            <w:pPr>
              <w:numPr>
                <w:ilvl w:val="0"/>
                <w:numId w:val="0"/>
              </w:numPr>
              <w:rPr>
                <w:rFonts w:hint="default"/>
                <w:sz w:val="24"/>
                <w:szCs w:val="24"/>
                <w:vertAlign w:val="baseline"/>
                <w:lang w:val="en-US" w:eastAsia="zh-CN"/>
              </w:rPr>
            </w:pPr>
            <w:r>
              <w:rPr>
                <w:rFonts w:hint="eastAsia"/>
                <w:sz w:val="24"/>
                <w:szCs w:val="24"/>
                <w:vertAlign w:val="baseline"/>
                <w:lang w:val="en-US" w:eastAsia="zh-CN"/>
              </w:rPr>
              <w:t>开班人数要求</w:t>
            </w:r>
          </w:p>
        </w:tc>
        <w:tc>
          <w:tcPr>
            <w:tcW w:w="3480" w:type="dxa"/>
          </w:tcPr>
          <w:p w14:paraId="7767F215">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无要求</w:t>
            </w:r>
          </w:p>
        </w:tc>
        <w:tc>
          <w:tcPr>
            <w:tcW w:w="2920" w:type="dxa"/>
          </w:tcPr>
          <w:p w14:paraId="570D7A85">
            <w:pPr>
              <w:numPr>
                <w:ilvl w:val="0"/>
                <w:numId w:val="0"/>
              </w:numPr>
              <w:rPr>
                <w:rFonts w:hint="default"/>
                <w:sz w:val="24"/>
                <w:szCs w:val="24"/>
                <w:vertAlign w:val="baseline"/>
                <w:lang w:val="en-US" w:eastAsia="zh-CN"/>
              </w:rPr>
            </w:pPr>
            <w:r>
              <w:rPr>
                <w:rFonts w:hint="eastAsia"/>
                <w:sz w:val="24"/>
                <w:szCs w:val="24"/>
                <w:vertAlign w:val="baseline"/>
                <w:lang w:val="en-US" w:eastAsia="zh-CN"/>
              </w:rPr>
              <w:t>有要求（一般30人以上）</w:t>
            </w:r>
          </w:p>
        </w:tc>
      </w:tr>
      <w:tr w14:paraId="71E7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626" w:type="dxa"/>
            <w:gridSpan w:val="3"/>
          </w:tcPr>
          <w:p w14:paraId="4AC3983A">
            <w:pPr>
              <w:numPr>
                <w:ilvl w:val="0"/>
                <w:numId w:val="0"/>
              </w:numPr>
              <w:rPr>
                <w:rFonts w:hint="eastAsia"/>
                <w:sz w:val="24"/>
                <w:szCs w:val="24"/>
                <w:vertAlign w:val="baseline"/>
                <w:lang w:val="en-US" w:eastAsia="zh-CN"/>
              </w:rPr>
            </w:pPr>
            <w:r>
              <w:rPr>
                <w:rFonts w:hint="eastAsia"/>
                <w:sz w:val="24"/>
                <w:szCs w:val="24"/>
                <w:vertAlign w:val="baseline"/>
                <w:lang w:val="en-US" w:eastAsia="zh-CN"/>
              </w:rPr>
              <w:t>备注：专本衔接与网络助学为相同的自考学制，区别在于学习方式的不同。</w:t>
            </w:r>
          </w:p>
        </w:tc>
      </w:tr>
    </w:tbl>
    <w:p w14:paraId="1C2D6CF4">
      <w:pPr>
        <w:numPr>
          <w:ilvl w:val="0"/>
          <w:numId w:val="0"/>
        </w:numPr>
        <w:ind w:leftChars="0"/>
        <w:rPr>
          <w:rFonts w:hint="eastAsia"/>
          <w:sz w:val="24"/>
          <w:szCs w:val="24"/>
          <w:lang w:val="en-US" w:eastAsia="zh-CN"/>
        </w:rPr>
      </w:pPr>
    </w:p>
    <w:p w14:paraId="6723DE7A">
      <w:pPr>
        <w:numPr>
          <w:ilvl w:val="0"/>
          <w:numId w:val="0"/>
        </w:numPr>
        <w:ind w:leftChars="0"/>
        <w:rPr>
          <w:rFonts w:hint="default"/>
          <w:lang w:val="en-US" w:eastAsia="zh-CN"/>
        </w:rPr>
      </w:pPr>
      <w:r>
        <w:rPr>
          <w:rFonts w:hint="eastAsia"/>
          <w:sz w:val="24"/>
          <w:szCs w:val="24"/>
          <w:lang w:val="en-US" w:eastAsia="zh-CN"/>
        </w:rPr>
        <w:t xml:space="preserve">六、收费标准  </w:t>
      </w:r>
      <w:r>
        <w:rPr>
          <w:rFonts w:hint="eastAsia"/>
          <w:lang w:val="en-US" w:eastAsia="zh-CN"/>
        </w:rPr>
        <w:t xml:space="preserve">     </w:t>
      </w:r>
    </w:p>
    <w:tbl>
      <w:tblPr>
        <w:tblStyle w:val="2"/>
        <w:tblW w:w="9285" w:type="dxa"/>
        <w:tblInd w:w="-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8"/>
        <w:gridCol w:w="852"/>
        <w:gridCol w:w="1500"/>
        <w:gridCol w:w="1980"/>
        <w:gridCol w:w="1420"/>
        <w:gridCol w:w="2265"/>
      </w:tblGrid>
      <w:tr w14:paraId="08BF2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5D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学校</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CA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层次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37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专业代码</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6D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专业名称</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091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学制</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42F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学费标准</w:t>
            </w:r>
          </w:p>
        </w:tc>
      </w:tr>
      <w:tr w14:paraId="097D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268" w:type="dxa"/>
            <w:vMerge w:val="restart"/>
            <w:tcBorders>
              <w:top w:val="single" w:color="000000" w:sz="4" w:space="0"/>
              <w:left w:val="single" w:color="000000" w:sz="4" w:space="0"/>
              <w:right w:val="single" w:color="000000" w:sz="4" w:space="0"/>
            </w:tcBorders>
            <w:shd w:val="clear" w:color="auto" w:fill="auto"/>
            <w:vAlign w:val="center"/>
          </w:tcPr>
          <w:p w14:paraId="0C4C0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广西民族大学</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F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F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120402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4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行政管理</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74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DE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2800元/年</w:t>
            </w:r>
          </w:p>
        </w:tc>
      </w:tr>
      <w:tr w14:paraId="0C9E8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68" w:type="dxa"/>
            <w:vMerge w:val="continue"/>
            <w:tcBorders>
              <w:left w:val="single" w:color="000000" w:sz="4" w:space="0"/>
              <w:right w:val="single" w:color="000000" w:sz="4" w:space="0"/>
            </w:tcBorders>
            <w:shd w:val="clear" w:color="auto" w:fill="auto"/>
            <w:vAlign w:val="center"/>
          </w:tcPr>
          <w:p w14:paraId="2FD88FA0">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9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D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120201K</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FD2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工商管理</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0A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6F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2800元/年</w:t>
            </w:r>
          </w:p>
        </w:tc>
      </w:tr>
      <w:tr w14:paraId="1AC3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268" w:type="dxa"/>
            <w:vMerge w:val="continue"/>
            <w:tcBorders>
              <w:left w:val="single" w:color="000000" w:sz="4" w:space="0"/>
              <w:right w:val="single" w:color="000000" w:sz="4" w:space="0"/>
            </w:tcBorders>
            <w:shd w:val="clear" w:color="auto" w:fill="auto"/>
            <w:vAlign w:val="center"/>
          </w:tcPr>
          <w:p w14:paraId="7C253C4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9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D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120203K</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12B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会计学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B1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D7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2800元/年</w:t>
            </w:r>
          </w:p>
        </w:tc>
      </w:tr>
      <w:tr w14:paraId="7FCED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268" w:type="dxa"/>
            <w:vMerge w:val="continue"/>
            <w:tcBorders>
              <w:left w:val="single" w:color="000000" w:sz="4" w:space="0"/>
              <w:right w:val="single" w:color="000000" w:sz="4" w:space="0"/>
            </w:tcBorders>
            <w:shd w:val="clear" w:color="auto" w:fill="auto"/>
            <w:vAlign w:val="center"/>
          </w:tcPr>
          <w:p w14:paraId="4ACC6D15">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5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5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030101K</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5F1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法学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26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7C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2800元/年</w:t>
            </w:r>
          </w:p>
        </w:tc>
      </w:tr>
      <w:tr w14:paraId="4BE1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268" w:type="dxa"/>
            <w:vMerge w:val="continue"/>
            <w:tcBorders>
              <w:left w:val="single" w:color="000000" w:sz="4" w:space="0"/>
              <w:right w:val="single" w:color="000000" w:sz="4" w:space="0"/>
            </w:tcBorders>
            <w:shd w:val="clear" w:color="auto" w:fill="auto"/>
            <w:vAlign w:val="center"/>
          </w:tcPr>
          <w:p w14:paraId="581546D1">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E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6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020401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DB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国际经济与贸易</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3D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36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2800元/年</w:t>
            </w:r>
          </w:p>
        </w:tc>
      </w:tr>
      <w:tr w14:paraId="71DA0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268" w:type="dxa"/>
            <w:vMerge w:val="continue"/>
            <w:tcBorders>
              <w:left w:val="single" w:color="000000" w:sz="4" w:space="0"/>
              <w:right w:val="single" w:color="000000" w:sz="4" w:space="0"/>
            </w:tcBorders>
            <w:shd w:val="clear" w:color="auto" w:fill="auto"/>
            <w:vAlign w:val="center"/>
          </w:tcPr>
          <w:p w14:paraId="37577A8D">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B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6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020301K</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CBC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金融学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0F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93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2800元/年</w:t>
            </w:r>
          </w:p>
        </w:tc>
      </w:tr>
      <w:tr w14:paraId="1E556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68" w:type="dxa"/>
            <w:vMerge w:val="continue"/>
            <w:tcBorders>
              <w:left w:val="single" w:color="000000" w:sz="4" w:space="0"/>
              <w:right w:val="single" w:color="000000" w:sz="4" w:space="0"/>
            </w:tcBorders>
            <w:shd w:val="clear" w:color="auto" w:fill="auto"/>
            <w:vAlign w:val="center"/>
          </w:tcPr>
          <w:p w14:paraId="03D08F7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0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7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120206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6F4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人力资源管理</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A9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2AC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2800元/年</w:t>
            </w:r>
          </w:p>
        </w:tc>
      </w:tr>
      <w:tr w14:paraId="007D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68" w:type="dxa"/>
            <w:vMerge w:val="continue"/>
            <w:tcBorders>
              <w:left w:val="single" w:color="000000" w:sz="4" w:space="0"/>
              <w:right w:val="single" w:color="000000" w:sz="4" w:space="0"/>
            </w:tcBorders>
            <w:shd w:val="clear" w:color="auto" w:fill="auto"/>
            <w:vAlign w:val="center"/>
          </w:tcPr>
          <w:p w14:paraId="1640865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4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5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130503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D78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环境设计</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8C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F32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2800元/年</w:t>
            </w:r>
          </w:p>
        </w:tc>
      </w:tr>
      <w:tr w14:paraId="1EC28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68" w:type="dxa"/>
            <w:vMerge w:val="continue"/>
            <w:tcBorders>
              <w:left w:val="single" w:color="000000" w:sz="4" w:space="0"/>
              <w:right w:val="single" w:color="000000" w:sz="4" w:space="0"/>
            </w:tcBorders>
            <w:shd w:val="clear" w:color="auto" w:fill="auto"/>
            <w:vAlign w:val="center"/>
          </w:tcPr>
          <w:p w14:paraId="5307FC5A">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7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C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050101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E69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汉语言文学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60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6D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2800元/年</w:t>
            </w:r>
          </w:p>
        </w:tc>
      </w:tr>
      <w:tr w14:paraId="64A52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68" w:type="dxa"/>
            <w:vMerge w:val="continue"/>
            <w:tcBorders>
              <w:left w:val="single" w:color="000000" w:sz="4" w:space="0"/>
              <w:right w:val="single" w:color="000000" w:sz="4" w:space="0"/>
            </w:tcBorders>
            <w:shd w:val="clear" w:color="auto" w:fill="auto"/>
            <w:vAlign w:val="center"/>
          </w:tcPr>
          <w:p w14:paraId="6C3F835D">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0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F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050301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E8A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新闻学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E6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8F8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2800元/年</w:t>
            </w:r>
          </w:p>
        </w:tc>
      </w:tr>
      <w:tr w14:paraId="1590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268" w:type="dxa"/>
            <w:vMerge w:val="continue"/>
            <w:tcBorders>
              <w:left w:val="single" w:color="000000" w:sz="4" w:space="0"/>
              <w:right w:val="single" w:color="000000" w:sz="4" w:space="0"/>
            </w:tcBorders>
            <w:shd w:val="clear" w:color="auto" w:fill="auto"/>
            <w:vAlign w:val="center"/>
          </w:tcPr>
          <w:p w14:paraId="1E349491">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6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5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080901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B0B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计算机科学与技术</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AA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8C8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2800元/年</w:t>
            </w:r>
          </w:p>
        </w:tc>
      </w:tr>
      <w:tr w14:paraId="721C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68" w:type="dxa"/>
            <w:vMerge w:val="continue"/>
            <w:tcBorders>
              <w:left w:val="single" w:color="000000" w:sz="4" w:space="0"/>
              <w:right w:val="single" w:color="000000" w:sz="4" w:space="0"/>
            </w:tcBorders>
            <w:shd w:val="clear" w:color="auto" w:fill="auto"/>
            <w:vAlign w:val="center"/>
          </w:tcPr>
          <w:p w14:paraId="6EC3664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6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5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120202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B43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市场营销</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36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7E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2800元/年</w:t>
            </w:r>
          </w:p>
        </w:tc>
      </w:tr>
      <w:tr w14:paraId="72028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68" w:type="dxa"/>
            <w:vMerge w:val="continue"/>
            <w:tcBorders>
              <w:left w:val="single" w:color="000000" w:sz="4" w:space="0"/>
              <w:right w:val="single" w:color="000000" w:sz="4" w:space="0"/>
            </w:tcBorders>
            <w:shd w:val="clear" w:color="auto" w:fill="auto"/>
            <w:vAlign w:val="center"/>
          </w:tcPr>
          <w:p w14:paraId="32968CF4">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5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2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050201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FE9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英语</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E9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50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2800元/年</w:t>
            </w:r>
          </w:p>
        </w:tc>
      </w:tr>
      <w:tr w14:paraId="14CD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268" w:type="dxa"/>
            <w:vMerge w:val="continue"/>
            <w:tcBorders>
              <w:left w:val="single" w:color="000000" w:sz="4" w:space="0"/>
              <w:right w:val="single" w:color="000000" w:sz="4" w:space="0"/>
            </w:tcBorders>
            <w:shd w:val="clear" w:color="auto" w:fill="auto"/>
            <w:vAlign w:val="center"/>
          </w:tcPr>
          <w:p w14:paraId="7C1FF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2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3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120901K</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B9B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旅游管理</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50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818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2800元/年</w:t>
            </w:r>
          </w:p>
        </w:tc>
      </w:tr>
      <w:tr w14:paraId="35761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68" w:type="dxa"/>
            <w:tcBorders>
              <w:top w:val="single" w:color="000000" w:sz="4" w:space="0"/>
              <w:left w:val="single" w:color="000000" w:sz="4" w:space="0"/>
              <w:bottom w:val="nil"/>
              <w:right w:val="single" w:color="000000" w:sz="4" w:space="0"/>
            </w:tcBorders>
            <w:shd w:val="clear" w:color="auto" w:fill="auto"/>
            <w:vAlign w:val="center"/>
          </w:tcPr>
          <w:p w14:paraId="242C2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广西科技大学</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B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D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120105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2BB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工程造价</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48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3A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3000元/年</w:t>
            </w:r>
          </w:p>
        </w:tc>
      </w:tr>
      <w:tr w14:paraId="70D0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4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4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9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040106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6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DA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C6D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2800元/年</w:t>
            </w:r>
          </w:p>
        </w:tc>
      </w:tr>
      <w:tr w14:paraId="66E9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EA41">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F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F6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040107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2A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小学教育</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15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98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2800元/年</w:t>
            </w:r>
          </w:p>
        </w:tc>
      </w:tr>
    </w:tbl>
    <w:p w14:paraId="280CF816">
      <w:pPr>
        <w:numPr>
          <w:ilvl w:val="0"/>
          <w:numId w:val="0"/>
        </w:numPr>
        <w:ind w:leftChars="0"/>
        <w:rPr>
          <w:rFonts w:hint="default"/>
          <w:lang w:val="en-US" w:eastAsia="zh-CN"/>
        </w:rPr>
      </w:pPr>
    </w:p>
    <w:p w14:paraId="056888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sz w:val="24"/>
          <w:szCs w:val="24"/>
          <w:lang w:val="en-US" w:eastAsia="zh-CN"/>
        </w:rPr>
      </w:pPr>
      <w:r>
        <w:rPr>
          <w:rFonts w:hint="eastAsia"/>
          <w:sz w:val="24"/>
          <w:szCs w:val="24"/>
          <w:lang w:val="en-US" w:eastAsia="zh-CN"/>
        </w:rPr>
        <w:t xml:space="preserve"> 其他费用：毕业论文答辩费150元/人（按桂价费字〔1996〕463号执行）；自考统考考试费40元/科次，部分特殊课程报考费为70元/科次（按桂价费〔2009〕212号执行）。</w:t>
      </w:r>
    </w:p>
    <w:p w14:paraId="082D9BBF">
      <w:pPr>
        <w:numPr>
          <w:ilvl w:val="0"/>
          <w:numId w:val="0"/>
        </w:numPr>
        <w:ind w:leftChars="0"/>
        <w:rPr>
          <w:rFonts w:hint="eastAsia"/>
          <w:sz w:val="24"/>
          <w:szCs w:val="24"/>
          <w:lang w:val="en-US" w:eastAsia="zh-CN"/>
        </w:rPr>
      </w:pPr>
      <w:r>
        <w:rPr>
          <w:rFonts w:hint="eastAsia"/>
          <w:sz w:val="24"/>
          <w:szCs w:val="24"/>
          <w:lang w:val="en-US" w:eastAsia="zh-CN"/>
        </w:rPr>
        <w:t>七、2024年下半年报名时间</w:t>
      </w:r>
    </w:p>
    <w:p w14:paraId="2D816D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color w:val="FF0000"/>
          <w:sz w:val="24"/>
          <w:szCs w:val="24"/>
          <w:lang w:val="en-US" w:eastAsia="zh-CN"/>
        </w:rPr>
      </w:pPr>
      <w:r>
        <w:rPr>
          <w:rFonts w:hint="eastAsia"/>
          <w:color w:val="FF0000"/>
          <w:sz w:val="24"/>
          <w:szCs w:val="24"/>
          <w:lang w:val="en-US" w:eastAsia="zh-CN"/>
        </w:rPr>
        <w:t>2024年8月26日——2024年10月15日</w:t>
      </w:r>
    </w:p>
    <w:p w14:paraId="45137E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sz w:val="24"/>
          <w:szCs w:val="24"/>
          <w:vertAlign w:val="baseline"/>
          <w:lang w:val="en-US" w:eastAsia="zh-CN"/>
        </w:rPr>
      </w:pPr>
      <w:r>
        <w:rPr>
          <w:rFonts w:hint="eastAsia"/>
          <w:sz w:val="24"/>
          <w:szCs w:val="24"/>
          <w:lang w:val="en-US" w:eastAsia="zh-CN"/>
        </w:rPr>
        <w:t>八、自考本科报名及学习流程</w:t>
      </w:r>
    </w:p>
    <w:p w14:paraId="68F1A5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sz w:val="24"/>
          <w:szCs w:val="24"/>
          <w:lang w:val="en-US" w:eastAsia="zh-CN"/>
        </w:rPr>
      </w:pPr>
      <w:r>
        <w:rPr>
          <w:rFonts w:hint="eastAsia"/>
          <w:sz w:val="24"/>
          <w:szCs w:val="24"/>
          <w:lang w:val="en-US" w:eastAsia="zh-CN"/>
        </w:rPr>
        <w:t>确定专业→联系老师注册报名→报名成功→系统学习→备考统考→完成所有专业课统考并成绩合格→完成毕业论文撰写并答辩→申请毕业证→参加学位英语考试并成绩合格→获得学位证</w:t>
      </w:r>
    </w:p>
    <w:p w14:paraId="37955A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color w:val="FF0000"/>
          <w:sz w:val="24"/>
          <w:szCs w:val="24"/>
          <w:lang w:val="en-US" w:eastAsia="zh-CN"/>
        </w:rPr>
      </w:pPr>
    </w:p>
    <w:p w14:paraId="3FA7F1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sz w:val="24"/>
          <w:szCs w:val="24"/>
          <w:lang w:val="en-US" w:eastAsia="zh-CN"/>
        </w:rPr>
      </w:pPr>
      <w:r>
        <w:rPr>
          <w:rFonts w:hint="eastAsia"/>
          <w:sz w:val="24"/>
          <w:szCs w:val="24"/>
          <w:lang w:val="en-US" w:eastAsia="zh-CN"/>
        </w:rPr>
        <w:t>九</w:t>
      </w:r>
      <w:bookmarkStart w:id="0" w:name="_GoBack"/>
      <w:bookmarkEnd w:id="0"/>
      <w:r>
        <w:rPr>
          <w:rFonts w:hint="eastAsia"/>
          <w:sz w:val="24"/>
          <w:szCs w:val="24"/>
          <w:lang w:val="en-US" w:eastAsia="zh-CN"/>
        </w:rPr>
        <w:t>、报考咨询服务</w:t>
      </w:r>
    </w:p>
    <w:p w14:paraId="344C6C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sz w:val="24"/>
          <w:szCs w:val="24"/>
          <w:lang w:val="en-US" w:eastAsia="zh-CN"/>
        </w:rPr>
      </w:pPr>
      <w:r>
        <w:rPr>
          <w:rFonts w:hint="default"/>
          <w:sz w:val="24"/>
          <w:szCs w:val="24"/>
          <w:lang w:val="en-US" w:eastAsia="zh-CN"/>
        </w:rPr>
        <w:t>我校培训部全年为考生提供咨询服务</w:t>
      </w:r>
      <w:r>
        <w:rPr>
          <w:rFonts w:hint="eastAsia"/>
          <w:sz w:val="24"/>
          <w:szCs w:val="24"/>
          <w:lang w:val="en-US" w:eastAsia="zh-CN"/>
        </w:rPr>
        <w:t>，</w:t>
      </w:r>
      <w:r>
        <w:rPr>
          <w:rFonts w:hint="default"/>
          <w:sz w:val="24"/>
          <w:szCs w:val="24"/>
          <w:lang w:val="en-US" w:eastAsia="zh-CN"/>
        </w:rPr>
        <w:t>未尽事宜请移步培训部</w:t>
      </w:r>
      <w:r>
        <w:rPr>
          <w:rFonts w:hint="eastAsia"/>
          <w:sz w:val="24"/>
          <w:szCs w:val="24"/>
          <w:lang w:val="en-US" w:eastAsia="zh-CN"/>
        </w:rPr>
        <w:t>办公室</w:t>
      </w:r>
      <w:r>
        <w:rPr>
          <w:rFonts w:hint="default"/>
          <w:sz w:val="24"/>
          <w:szCs w:val="24"/>
          <w:lang w:val="en-US" w:eastAsia="zh-CN"/>
        </w:rPr>
        <w:t>咨询</w:t>
      </w:r>
      <w:r>
        <w:rPr>
          <w:rFonts w:hint="eastAsia"/>
          <w:sz w:val="24"/>
          <w:szCs w:val="24"/>
          <w:lang w:val="en-US" w:eastAsia="zh-CN"/>
        </w:rPr>
        <w:t>。</w:t>
      </w:r>
    </w:p>
    <w:p w14:paraId="1F1551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default"/>
          <w:sz w:val="24"/>
          <w:szCs w:val="24"/>
          <w:lang w:val="en-US" w:eastAsia="zh-CN"/>
        </w:rPr>
      </w:pPr>
      <w:r>
        <w:rPr>
          <w:rFonts w:hint="default"/>
          <w:sz w:val="24"/>
          <w:szCs w:val="24"/>
          <w:lang w:val="en-US" w:eastAsia="zh-CN"/>
        </w:rPr>
        <w:t>咨询地址：广西平果大学城大学东路12号（培训部2教314室）</w:t>
      </w:r>
    </w:p>
    <w:p w14:paraId="4635B6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default"/>
          <w:sz w:val="24"/>
          <w:szCs w:val="24"/>
          <w:lang w:val="en-US" w:eastAsia="zh-CN"/>
        </w:rPr>
      </w:pPr>
      <w:r>
        <w:rPr>
          <w:rFonts w:hint="default"/>
          <w:sz w:val="24"/>
          <w:szCs w:val="24"/>
          <w:lang w:val="en-US" w:eastAsia="zh-CN"/>
        </w:rPr>
        <w:t>咨询热线：0776-5669792</w:t>
      </w:r>
    </w:p>
    <w:p w14:paraId="1C9C4E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default"/>
          <w:sz w:val="24"/>
          <w:szCs w:val="24"/>
          <w:lang w:val="en-US" w:eastAsia="zh-CN"/>
        </w:rPr>
      </w:pPr>
      <w:r>
        <w:rPr>
          <w:rFonts w:hint="default"/>
          <w:sz w:val="24"/>
          <w:szCs w:val="24"/>
          <w:lang w:val="en-US" w:eastAsia="zh-CN"/>
        </w:rPr>
        <w:t>QQ在线：654408824（李老师）</w:t>
      </w:r>
    </w:p>
    <w:p w14:paraId="7949D9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default"/>
          <w:sz w:val="24"/>
          <w:szCs w:val="24"/>
          <w:lang w:val="en-US" w:eastAsia="zh-CN"/>
        </w:rPr>
      </w:pPr>
      <w:r>
        <w:rPr>
          <w:rFonts w:hint="default"/>
          <w:sz w:val="24"/>
          <w:szCs w:val="24"/>
          <w:lang w:val="en-US" w:eastAsia="zh-CN"/>
        </w:rPr>
        <w:t>钉钉咨询：李莎莎老师</w:t>
      </w:r>
    </w:p>
    <w:p w14:paraId="1771E7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YjM3NTIxOTMzZmVmNGI0MWFmOTYwZWQyM2ZkZTcifQ=="/>
  </w:docVars>
  <w:rsids>
    <w:rsidRoot w:val="00000000"/>
    <w:rsid w:val="003D21B2"/>
    <w:rsid w:val="007A1658"/>
    <w:rsid w:val="02752FA3"/>
    <w:rsid w:val="04B769D7"/>
    <w:rsid w:val="06997E9A"/>
    <w:rsid w:val="0CB32C96"/>
    <w:rsid w:val="0D646FD0"/>
    <w:rsid w:val="105E0A70"/>
    <w:rsid w:val="11C70FAF"/>
    <w:rsid w:val="12374163"/>
    <w:rsid w:val="126675CA"/>
    <w:rsid w:val="1B89513F"/>
    <w:rsid w:val="1BE279C7"/>
    <w:rsid w:val="1D0460DA"/>
    <w:rsid w:val="1D24677C"/>
    <w:rsid w:val="231B417D"/>
    <w:rsid w:val="23DA5DE6"/>
    <w:rsid w:val="27734588"/>
    <w:rsid w:val="27C9064C"/>
    <w:rsid w:val="29F55469"/>
    <w:rsid w:val="2B537E03"/>
    <w:rsid w:val="2B7A0A9D"/>
    <w:rsid w:val="2F06478A"/>
    <w:rsid w:val="33356B95"/>
    <w:rsid w:val="358E5015"/>
    <w:rsid w:val="371B59AF"/>
    <w:rsid w:val="39B06C4C"/>
    <w:rsid w:val="39F9249D"/>
    <w:rsid w:val="411F5CCB"/>
    <w:rsid w:val="417E5BAB"/>
    <w:rsid w:val="425A6618"/>
    <w:rsid w:val="44564BBE"/>
    <w:rsid w:val="47853E58"/>
    <w:rsid w:val="48343468"/>
    <w:rsid w:val="484E1CA7"/>
    <w:rsid w:val="48580F04"/>
    <w:rsid w:val="4A630034"/>
    <w:rsid w:val="4B321EE0"/>
    <w:rsid w:val="4E90319A"/>
    <w:rsid w:val="50CA5D8E"/>
    <w:rsid w:val="51EE28D9"/>
    <w:rsid w:val="538871F3"/>
    <w:rsid w:val="55924F7E"/>
    <w:rsid w:val="56A82B0D"/>
    <w:rsid w:val="588E1BAF"/>
    <w:rsid w:val="58F702C5"/>
    <w:rsid w:val="59C83A10"/>
    <w:rsid w:val="59CC1752"/>
    <w:rsid w:val="5AB8751D"/>
    <w:rsid w:val="5B4916B5"/>
    <w:rsid w:val="5BEA30A7"/>
    <w:rsid w:val="5C1D56BA"/>
    <w:rsid w:val="5C2C297C"/>
    <w:rsid w:val="5C803B6C"/>
    <w:rsid w:val="5CD27696"/>
    <w:rsid w:val="5CF8285E"/>
    <w:rsid w:val="5EB51A9C"/>
    <w:rsid w:val="6050209D"/>
    <w:rsid w:val="63521307"/>
    <w:rsid w:val="65566374"/>
    <w:rsid w:val="67A930D3"/>
    <w:rsid w:val="67EB1084"/>
    <w:rsid w:val="6A7312E3"/>
    <w:rsid w:val="6BA1258C"/>
    <w:rsid w:val="6BD44DD0"/>
    <w:rsid w:val="6CCB6DC2"/>
    <w:rsid w:val="6D39125B"/>
    <w:rsid w:val="6D74742C"/>
    <w:rsid w:val="70495E6E"/>
    <w:rsid w:val="747D56CB"/>
    <w:rsid w:val="751B4639"/>
    <w:rsid w:val="76192284"/>
    <w:rsid w:val="7BB35E76"/>
    <w:rsid w:val="7CAB363B"/>
    <w:rsid w:val="7D334C73"/>
    <w:rsid w:val="7E155B59"/>
    <w:rsid w:val="7E26171E"/>
    <w:rsid w:val="7E7E6728"/>
    <w:rsid w:val="7EBE700C"/>
    <w:rsid w:val="7EE3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1676</Words>
  <Characters>1890</Characters>
  <Lines>0</Lines>
  <Paragraphs>0</Paragraphs>
  <TotalTime>2</TotalTime>
  <ScaleCrop>false</ScaleCrop>
  <LinksUpToDate>false</LinksUpToDate>
  <CharactersWithSpaces>1899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2023-05-29T01:36:00Z</dcterms:created>
  <dc:creator>Administrator</dc:creator>
  <cp:lastModifiedBy>叉烧不加汁</cp:lastModifiedBy>
  <dcterms:modified xsi:type="dcterms:W3CDTF">2024-08-26T01:01:15Z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35137D4CFDF941619163FD123BC7FEF6_12</vt:lpwstr>
  </property>
</Properties>
</file>